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hint="default" w:ascii="Times New Roman" w:hAnsi="Times New Roman" w:eastAsia="微软雅黑" w:cs="Times New Roman"/>
          <w:sz w:val="36"/>
          <w:szCs w:val="36"/>
          <w:highlight w:val="none"/>
          <w:lang w:val="en-US" w:eastAsia="zh-CN"/>
        </w:rPr>
      </w:pPr>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商业街区A1号楼</w:t>
      </w:r>
      <w:r>
        <w:rPr>
          <w:rFonts w:hint="eastAsia" w:ascii="Times New Roman" w:hAnsi="Times New Roman" w:eastAsia="微软雅黑" w:cs="Times New Roman"/>
          <w:sz w:val="36"/>
          <w:szCs w:val="36"/>
          <w:highlight w:val="none"/>
          <w:lang w:val="en-US" w:eastAsia="zh-CN"/>
        </w:rPr>
        <w:t>1</w:t>
      </w:r>
      <w:r>
        <w:rPr>
          <w:rFonts w:hint="default" w:ascii="Times New Roman" w:hAnsi="Times New Roman" w:eastAsia="微软雅黑" w:cs="Times New Roman"/>
          <w:sz w:val="36"/>
          <w:szCs w:val="36"/>
          <w:highlight w:val="none"/>
          <w:lang w:val="en-US" w:eastAsia="zh-CN"/>
        </w:rPr>
        <w:t>层</w:t>
      </w:r>
      <w:r>
        <w:rPr>
          <w:rFonts w:hint="eastAsia" w:ascii="Times New Roman" w:hAnsi="Times New Roman" w:eastAsia="微软雅黑" w:cs="Times New Roman"/>
          <w:sz w:val="36"/>
          <w:szCs w:val="36"/>
          <w:highlight w:val="none"/>
          <w:lang w:val="en-US" w:eastAsia="zh-CN"/>
        </w:rPr>
        <w:t>140</w:t>
      </w:r>
      <w:r>
        <w:rPr>
          <w:rFonts w:hint="default" w:ascii="Times New Roman" w:hAnsi="Times New Roman" w:eastAsia="微软雅黑" w:cs="Times New Roman"/>
          <w:sz w:val="36"/>
          <w:szCs w:val="36"/>
          <w:highlight w:val="none"/>
          <w:lang w:val="en-US" w:eastAsia="zh-CN"/>
        </w:rPr>
        <w:t>号商铺</w:t>
      </w:r>
    </w:p>
    <w:p>
      <w:pPr>
        <w:spacing w:line="680" w:lineRule="exact"/>
        <w:jc w:val="center"/>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lang w:val="en-US" w:eastAsia="zh-CN"/>
        </w:rPr>
        <w:t>合作方</w:t>
      </w:r>
      <w:r>
        <w:rPr>
          <w:rFonts w:hint="default" w:ascii="Times New Roman" w:hAnsi="Times New Roman" w:eastAsia="微软雅黑" w:cs="Times New Roman"/>
          <w:sz w:val="36"/>
          <w:szCs w:val="36"/>
          <w:highlight w:val="none"/>
        </w:rPr>
        <w:t>公开招募公告</w:t>
      </w:r>
    </w:p>
    <w:p>
      <w:pPr>
        <w:pStyle w:val="2"/>
        <w:rPr>
          <w:rFonts w:hint="default" w:ascii="Times New Roman" w:hAnsi="Times New Roman" w:cs="Times New Roman"/>
          <w:highlight w:val="none"/>
        </w:rPr>
      </w:pPr>
    </w:p>
    <w:p>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w:t>
      </w:r>
      <w:r>
        <w:rPr>
          <w:rFonts w:hint="eastAsia" w:ascii="Times New Roman" w:hAnsi="Times New Roman" w:eastAsia="方正仿宋_GB2312" w:cs="Times New Roman"/>
          <w:sz w:val="28"/>
          <w:szCs w:val="28"/>
          <w:highlight w:val="none"/>
          <w:lang w:val="zh-CN" w:eastAsia="zh-CN"/>
        </w:rPr>
        <w:t>万平方米</w:t>
      </w:r>
      <w:r>
        <w:rPr>
          <w:rFonts w:hint="eastAsia" w:ascii="Times New Roman" w:hAnsi="Times New Roman" w:eastAsia="方正仿宋_GB2312" w:cs="Times New Roman"/>
          <w:sz w:val="28"/>
          <w:szCs w:val="28"/>
          <w:highlight w:val="none"/>
          <w:lang w:val="en-US" w:eastAsia="zh-CN"/>
        </w:rPr>
        <w:t>，计划总投资19.5亿元</w:t>
      </w:r>
      <w:r>
        <w:rPr>
          <w:rFonts w:hint="eastAsia" w:ascii="Times New Roman" w:hAnsi="Times New Roman" w:eastAsia="方正仿宋_GB2312" w:cs="Times New Roman"/>
          <w:sz w:val="28"/>
          <w:szCs w:val="28"/>
          <w:highlight w:val="none"/>
          <w:lang w:val="zh-CN" w:eastAsia="zh-CN"/>
        </w:rPr>
        <w:t>，项目</w:t>
      </w:r>
      <w:r>
        <w:rPr>
          <w:rFonts w:hint="eastAsia" w:ascii="Times New Roman" w:hAnsi="Times New Roman" w:eastAsia="方正仿宋_GB2312" w:cs="Times New Roman"/>
          <w:sz w:val="28"/>
          <w:szCs w:val="28"/>
          <w:highlight w:val="none"/>
          <w:lang w:val="en-US" w:eastAsia="zh-CN"/>
        </w:rPr>
        <w:t>已</w:t>
      </w:r>
      <w:r>
        <w:rPr>
          <w:rFonts w:hint="eastAsia" w:ascii="Times New Roman" w:hAnsi="Times New Roman" w:eastAsia="方正仿宋_GB2312" w:cs="Times New Roman"/>
          <w:sz w:val="28"/>
          <w:szCs w:val="28"/>
          <w:highlight w:val="none"/>
          <w:lang w:val="zh-CN" w:eastAsia="zh-CN"/>
        </w:rPr>
        <w:t>于2021年12月全面动工，</w:t>
      </w:r>
      <w:r>
        <w:rPr>
          <w:rFonts w:hint="eastAsia" w:ascii="Times New Roman" w:hAnsi="Times New Roman" w:eastAsia="方正仿宋_GB2312" w:cs="Times New Roman"/>
          <w:sz w:val="28"/>
          <w:szCs w:val="28"/>
          <w:highlight w:val="none"/>
          <w:lang w:val="en-US" w:eastAsia="zh-CN"/>
        </w:rPr>
        <w:t>并于2023年12月</w:t>
      </w:r>
      <w:r>
        <w:rPr>
          <w:rFonts w:hint="eastAsia" w:ascii="Times New Roman" w:hAnsi="Times New Roman" w:eastAsia="方正仿宋_GB2312" w:cs="Times New Roman"/>
          <w:sz w:val="28"/>
          <w:szCs w:val="28"/>
          <w:highlight w:val="none"/>
          <w:lang w:val="zh-CN" w:eastAsia="zh-CN"/>
        </w:rPr>
        <w:t>竣工</w:t>
      </w:r>
      <w:r>
        <w:rPr>
          <w:rFonts w:hint="eastAsia" w:ascii="Times New Roman" w:hAnsi="Times New Roman" w:eastAsia="方正仿宋_GB2312" w:cs="Times New Roman"/>
          <w:sz w:val="28"/>
          <w:szCs w:val="28"/>
          <w:highlight w:val="none"/>
          <w:lang w:val="en-US" w:eastAsia="zh-CN"/>
        </w:rPr>
        <w:t>验收</w:t>
      </w:r>
      <w:r>
        <w:rPr>
          <w:rFonts w:hint="eastAsia" w:ascii="Times New Roman" w:hAnsi="Times New Roman" w:eastAsia="方正仿宋_GB2312" w:cs="Times New Roman"/>
          <w:sz w:val="28"/>
          <w:szCs w:val="28"/>
          <w:highlight w:val="none"/>
          <w:lang w:val="zh-CN" w:eastAsia="zh-CN"/>
        </w:rPr>
        <w:t>，</w:t>
      </w:r>
      <w:r>
        <w:rPr>
          <w:rFonts w:hint="eastAsia" w:ascii="Times New Roman" w:hAnsi="Times New Roman" w:eastAsia="方正仿宋_GB2312" w:cs="Times New Roman"/>
          <w:sz w:val="28"/>
          <w:szCs w:val="28"/>
          <w:highlight w:val="none"/>
          <w:lang w:val="en-US" w:eastAsia="zh-CN"/>
        </w:rPr>
        <w:t>已于</w:t>
      </w:r>
      <w:r>
        <w:rPr>
          <w:rFonts w:hint="eastAsia" w:ascii="Times New Roman" w:hAnsi="Times New Roman" w:eastAsia="方正仿宋_GB2312" w:cs="Times New Roman"/>
          <w:sz w:val="28"/>
          <w:szCs w:val="28"/>
          <w:highlight w:val="none"/>
          <w:lang w:val="zh-CN" w:eastAsia="zh-CN"/>
        </w:rPr>
        <w:t>2024</w:t>
      </w:r>
      <w:r>
        <w:rPr>
          <w:rFonts w:hint="eastAsia" w:ascii="Times New Roman" w:hAnsi="Times New Roman" w:eastAsia="方正仿宋_GB2312" w:cs="Times New Roman"/>
          <w:sz w:val="28"/>
          <w:szCs w:val="28"/>
          <w:highlight w:val="none"/>
          <w:lang w:val="en-US" w:eastAsia="zh-CN"/>
        </w:rPr>
        <w:t>年9月全面</w:t>
      </w:r>
      <w:r>
        <w:rPr>
          <w:rFonts w:hint="eastAsia" w:ascii="Times New Roman" w:hAnsi="Times New Roman" w:eastAsia="方正仿宋_GB2312" w:cs="Times New Roman"/>
          <w:sz w:val="28"/>
          <w:szCs w:val="28"/>
          <w:highlight w:val="none"/>
          <w:lang w:val="zh-CN" w:eastAsia="zh-CN"/>
        </w:rPr>
        <w:t>投入运营。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四川旅投漫话世界旅游开发有限责任公司拟对天府国际动漫城商业街区A1号楼</w:t>
      </w:r>
      <w:r>
        <w:rPr>
          <w:rFonts w:hint="eastAsia" w:ascii="Times New Roman" w:hAnsi="Times New Roman" w:eastAsia="方正仿宋_GB2312" w:cs="Times New Roman"/>
          <w:sz w:val="28"/>
          <w:szCs w:val="28"/>
          <w:highlight w:val="none"/>
          <w:lang w:val="en-US" w:eastAsia="zh-CN"/>
        </w:rPr>
        <w:t>1</w:t>
      </w:r>
      <w:r>
        <w:rPr>
          <w:rFonts w:hint="default" w:ascii="Times New Roman" w:hAnsi="Times New Roman" w:eastAsia="方正仿宋_GB2312" w:cs="Times New Roman"/>
          <w:sz w:val="28"/>
          <w:szCs w:val="28"/>
          <w:highlight w:val="none"/>
        </w:rPr>
        <w:t>层</w:t>
      </w:r>
      <w:r>
        <w:rPr>
          <w:rFonts w:hint="eastAsia" w:ascii="Times New Roman" w:hAnsi="Times New Roman" w:eastAsia="方正仿宋_GB2312" w:cs="Times New Roman"/>
          <w:sz w:val="28"/>
          <w:szCs w:val="28"/>
          <w:highlight w:val="none"/>
          <w:lang w:val="en-US" w:eastAsia="zh-CN"/>
        </w:rPr>
        <w:t>140</w:t>
      </w:r>
      <w:r>
        <w:rPr>
          <w:rFonts w:hint="default" w:ascii="Times New Roman" w:hAnsi="Times New Roman" w:eastAsia="方正仿宋_GB2312" w:cs="Times New Roman"/>
          <w:sz w:val="28"/>
          <w:szCs w:val="28"/>
          <w:highlight w:val="none"/>
        </w:rPr>
        <w:t>号</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成华区</w:t>
      </w:r>
      <w:r>
        <w:rPr>
          <w:rFonts w:hint="eastAsia" w:ascii="Times New Roman" w:hAnsi="Times New Roman" w:eastAsia="方正仿宋_GB2312" w:cs="Times New Roman"/>
          <w:sz w:val="28"/>
          <w:szCs w:val="28"/>
          <w:highlight w:val="none"/>
          <w:lang w:val="en-US" w:eastAsia="zh-CN"/>
        </w:rPr>
        <w:t>东紫路173号1栋附140</w:t>
      </w:r>
      <w:r>
        <w:rPr>
          <w:rFonts w:hint="default" w:ascii="Times New Roman" w:hAnsi="Times New Roman" w:eastAsia="方正仿宋_GB2312" w:cs="Times New Roman"/>
          <w:sz w:val="28"/>
          <w:szCs w:val="28"/>
          <w:highlight w:val="none"/>
        </w:rPr>
        <w:t>号</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商铺合作方进行公开招募，通过综合评议的方式确定合作方。现诚邀符合要求的意向合作方参加本项目的公开招募，并将有关事项公告如下：</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b w:val="0"/>
          <w:bCs w:val="0"/>
          <w:sz w:val="28"/>
          <w:szCs w:val="28"/>
          <w:highlight w:val="none"/>
          <w:u w:val="single"/>
          <w:lang w:val="en-US" w:eastAsia="zh-CN"/>
        </w:rPr>
        <w:t xml:space="preserve"> A1号楼</w:t>
      </w:r>
      <w:r>
        <w:rPr>
          <w:rFonts w:hint="eastAsia" w:ascii="Times New Roman" w:hAnsi="Times New Roman" w:eastAsia="方正仿宋_GB2312" w:cs="Times New Roman"/>
          <w:b w:val="0"/>
          <w:bCs w:val="0"/>
          <w:sz w:val="28"/>
          <w:szCs w:val="28"/>
          <w:highlight w:val="none"/>
          <w:u w:val="single"/>
          <w:lang w:val="en-US" w:eastAsia="zh-CN"/>
        </w:rPr>
        <w:t>1</w:t>
      </w:r>
      <w:r>
        <w:rPr>
          <w:rFonts w:hint="default" w:ascii="Times New Roman" w:hAnsi="Times New Roman" w:eastAsia="方正仿宋_GB2312" w:cs="Times New Roman"/>
          <w:b w:val="0"/>
          <w:bCs w:val="0"/>
          <w:sz w:val="28"/>
          <w:szCs w:val="28"/>
          <w:highlight w:val="none"/>
          <w:u w:val="single"/>
          <w:lang w:val="en-US" w:eastAsia="zh-CN"/>
        </w:rPr>
        <w:t>层</w:t>
      </w:r>
      <w:r>
        <w:rPr>
          <w:rFonts w:hint="eastAsia" w:ascii="Times New Roman" w:hAnsi="Times New Roman" w:eastAsia="方正仿宋_GB2312" w:cs="Times New Roman"/>
          <w:b w:val="0"/>
          <w:bCs w:val="0"/>
          <w:sz w:val="28"/>
          <w:szCs w:val="28"/>
          <w:highlight w:val="none"/>
          <w:u w:val="single"/>
          <w:lang w:val="en-US" w:eastAsia="zh-CN"/>
        </w:rPr>
        <w:t>140</w:t>
      </w:r>
      <w:r>
        <w:rPr>
          <w:rFonts w:hint="default" w:ascii="Times New Roman" w:hAnsi="Times New Roman" w:eastAsia="方正仿宋_GB2312" w:cs="Times New Roman"/>
          <w:b w:val="0"/>
          <w:bCs w:val="0"/>
          <w:sz w:val="28"/>
          <w:szCs w:val="28"/>
          <w:highlight w:val="none"/>
          <w:u w:val="single"/>
          <w:lang w:val="en-US" w:eastAsia="zh-CN"/>
        </w:rPr>
        <w:t>号</w:t>
      </w:r>
      <w:r>
        <w:rPr>
          <w:rFonts w:hint="default" w:ascii="Times New Roman" w:hAnsi="Times New Roman" w:eastAsia="方正仿宋_GB2312" w:cs="Times New Roman"/>
          <w:sz w:val="28"/>
          <w:szCs w:val="28"/>
          <w:highlight w:val="none"/>
          <w:lang w:val="en-US" w:eastAsia="zh-CN"/>
        </w:rPr>
        <w:t>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2.地理位置:四川省成都市成华区荆泰二路353号（详见附件2：地图）；</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40.33</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㎡（以最终实测面积为准）</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lang w:val="en-US" w:eastAsia="zh-CN"/>
        </w:rPr>
        <w:t>现状交付。</w:t>
      </w:r>
    </w:p>
    <w:p>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动漫零售类</w:t>
      </w:r>
      <w:r>
        <w:rPr>
          <w:rFonts w:hint="default" w:ascii="Times New Roman" w:hAnsi="Times New Roman" w:eastAsia="方正仿宋_GB2312" w:cs="Times New Roman"/>
          <w:sz w:val="28"/>
          <w:szCs w:val="28"/>
          <w:highlight w:val="none"/>
          <w:lang w:val="en-US" w:eastAsia="zh-CN"/>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9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727"/>
        <w:gridCol w:w="1134"/>
        <w:gridCol w:w="1087"/>
        <w:gridCol w:w="917"/>
        <w:gridCol w:w="782"/>
        <w:gridCol w:w="1040"/>
        <w:gridCol w:w="912"/>
        <w:gridCol w:w="912"/>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32"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727" w:type="dxa"/>
            <w:vAlign w:val="center"/>
          </w:tcPr>
          <w:p>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134"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087"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17"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782"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040" w:type="dxa"/>
            <w:vAlign w:val="center"/>
          </w:tcPr>
          <w:p>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12" w:type="dxa"/>
            <w:vAlign w:val="center"/>
          </w:tcPr>
          <w:p>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12"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eastAsia" w:ascii="Times New Roman" w:hAnsi="Times New Roman" w:eastAsia="方正仿宋_GB2312" w:cs="Times New Roman"/>
                <w:b/>
                <w:bCs/>
                <w:sz w:val="18"/>
                <w:szCs w:val="18"/>
                <w:highlight w:val="none"/>
                <w:lang w:val="en-US" w:eastAsia="zh-CN"/>
              </w:rPr>
              <w:t>装修期</w:t>
            </w:r>
          </w:p>
        </w:tc>
        <w:tc>
          <w:tcPr>
            <w:tcW w:w="912"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4" w:hRule="atLeast"/>
          <w:jc w:val="center"/>
        </w:trPr>
        <w:tc>
          <w:tcPr>
            <w:tcW w:w="832"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6"/>
                <w:szCs w:val="16"/>
                <w:highlight w:val="none"/>
                <w:lang w:val="en-US" w:eastAsia="zh-CN"/>
              </w:rPr>
              <w:t>A1号楼</w:t>
            </w:r>
            <w:r>
              <w:rPr>
                <w:rFonts w:hint="eastAsia" w:ascii="Times New Roman" w:hAnsi="Times New Roman" w:eastAsia="方正仿宋_GB2312" w:cs="Times New Roman"/>
                <w:sz w:val="16"/>
                <w:szCs w:val="16"/>
                <w:highlight w:val="none"/>
                <w:lang w:val="en-US" w:eastAsia="zh-CN"/>
              </w:rPr>
              <w:t>1</w:t>
            </w:r>
            <w:r>
              <w:rPr>
                <w:rFonts w:hint="default" w:ascii="Times New Roman" w:hAnsi="Times New Roman" w:eastAsia="方正仿宋_GB2312" w:cs="Times New Roman"/>
                <w:sz w:val="16"/>
                <w:szCs w:val="16"/>
                <w:highlight w:val="none"/>
                <w:lang w:val="en-US" w:eastAsia="zh-CN"/>
              </w:rPr>
              <w:t>层</w:t>
            </w:r>
            <w:r>
              <w:rPr>
                <w:rFonts w:hint="eastAsia" w:ascii="Times New Roman" w:hAnsi="Times New Roman" w:eastAsia="方正仿宋_GB2312" w:cs="Times New Roman"/>
                <w:sz w:val="16"/>
                <w:szCs w:val="16"/>
                <w:highlight w:val="none"/>
                <w:lang w:val="en-US" w:eastAsia="zh-CN"/>
              </w:rPr>
              <w:t>140</w:t>
            </w:r>
            <w:r>
              <w:rPr>
                <w:rFonts w:hint="default" w:ascii="Times New Roman" w:hAnsi="Times New Roman" w:eastAsia="方正仿宋_GB2312" w:cs="Times New Roman"/>
                <w:sz w:val="16"/>
                <w:szCs w:val="16"/>
                <w:highlight w:val="none"/>
                <w:lang w:val="en-US" w:eastAsia="zh-CN"/>
              </w:rPr>
              <w:t>号商铺</w:t>
            </w:r>
          </w:p>
        </w:tc>
        <w:tc>
          <w:tcPr>
            <w:tcW w:w="727"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rPr>
            </w:pPr>
            <w:r>
              <w:rPr>
                <w:rFonts w:hint="eastAsia" w:ascii="Times New Roman" w:hAnsi="Times New Roman" w:eastAsia="方正仿宋_GB2312" w:cs="Times New Roman"/>
                <w:sz w:val="18"/>
                <w:szCs w:val="18"/>
                <w:highlight w:val="none"/>
                <w:lang w:val="en-US" w:eastAsia="zh-CN"/>
              </w:rPr>
              <w:t>40.33㎡</w:t>
            </w:r>
          </w:p>
        </w:tc>
        <w:tc>
          <w:tcPr>
            <w:tcW w:w="1134"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087"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2个月租金</w:t>
            </w:r>
          </w:p>
        </w:tc>
        <w:tc>
          <w:tcPr>
            <w:tcW w:w="917"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纯租赁</w:t>
            </w:r>
          </w:p>
        </w:tc>
        <w:tc>
          <w:tcPr>
            <w:tcW w:w="782"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2</w:t>
            </w:r>
            <w:r>
              <w:rPr>
                <w:rFonts w:hint="default" w:ascii="Times New Roman" w:hAnsi="Times New Roman" w:eastAsia="方正仿宋_GB2312" w:cs="Times New Roman"/>
                <w:sz w:val="18"/>
                <w:szCs w:val="18"/>
                <w:highlight w:val="none"/>
              </w:rPr>
              <w:t>年</w:t>
            </w:r>
          </w:p>
        </w:tc>
        <w:tc>
          <w:tcPr>
            <w:tcW w:w="1040"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128</w:t>
            </w:r>
          </w:p>
        </w:tc>
        <w:tc>
          <w:tcPr>
            <w:tcW w:w="912"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2个月</w:t>
            </w:r>
          </w:p>
        </w:tc>
        <w:tc>
          <w:tcPr>
            <w:tcW w:w="912"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无</w:t>
            </w:r>
          </w:p>
        </w:tc>
        <w:tc>
          <w:tcPr>
            <w:tcW w:w="912" w:type="dxa"/>
            <w:vAlign w:val="center"/>
          </w:tcPr>
          <w:p>
            <w:pPr>
              <w:spacing w:line="480" w:lineRule="auto"/>
              <w:jc w:val="center"/>
              <w:rPr>
                <w:rFonts w:hint="eastAsia"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无</w:t>
            </w:r>
          </w:p>
        </w:tc>
      </w:tr>
    </w:tbl>
    <w:p>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：季度支付</w:t>
      </w:r>
      <w:r>
        <w:rPr>
          <w:rFonts w:hint="default" w:ascii="Times New Roman" w:hAnsi="Times New Roman" w:eastAsia="方正仿宋_GB2312" w:cs="Times New Roman"/>
          <w:color w:val="auto"/>
          <w:sz w:val="28"/>
          <w:szCs w:val="28"/>
          <w:highlight w:val="none"/>
        </w:rPr>
        <w:t>。</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eastAsia" w:ascii="Times New Roman" w:hAnsi="Times New Roman" w:eastAsia="方正仿宋_GB2312" w:cs="Times New Roman"/>
          <w:sz w:val="28"/>
          <w:szCs w:val="28"/>
          <w:highlight w:val="none"/>
          <w:lang w:val="en-US" w:eastAsia="zh-CN"/>
        </w:rPr>
        <w:t>张</w:t>
      </w:r>
      <w:r>
        <w:rPr>
          <w:rFonts w:hint="default" w:ascii="Times New Roman" w:hAnsi="Times New Roman" w:eastAsia="方正仿宋_GB2312" w:cs="Times New Roman"/>
          <w:sz w:val="28"/>
          <w:szCs w:val="28"/>
          <w:highlight w:val="none"/>
        </w:rPr>
        <w:t>先生、028-67598666</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(一)本次公开招募信息公告将在四川旅投旅游创新开发有限责任公司官网、天府国际动漫城微信公众号进行公示，公示期为</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个工作日，公示时间为</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日-202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日。综合评议时间为202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15</w:t>
      </w:r>
      <w:r>
        <w:rPr>
          <w:rFonts w:hint="default" w:ascii="Times New Roman" w:hAnsi="Times New Roman" w:eastAsia="方正仿宋_GB2312" w:cs="Times New Roman"/>
          <w:color w:val="auto"/>
          <w:sz w:val="28"/>
          <w:szCs w:val="28"/>
          <w:highlight w:val="none"/>
        </w:rPr>
        <w:t>日09:30。</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12</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15</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合作申请函及合作方案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个工作日。</w:t>
      </w:r>
    </w:p>
    <w:p>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pPr>
        <w:pStyle w:val="2"/>
        <w:rPr>
          <w:rFonts w:hint="default"/>
        </w:rPr>
      </w:pP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pPr>
        <w:pStyle w:val="2"/>
        <w:ind w:firstLine="56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附件4：合同模板</w:t>
      </w:r>
      <w:bookmarkStart w:id="0" w:name="_GoBack"/>
      <w:bookmarkEnd w:id="0"/>
    </w:p>
    <w:p>
      <w:pPr>
        <w:spacing w:line="576" w:lineRule="exact"/>
        <w:ind w:firstLine="560" w:firstLineChars="200"/>
        <w:rPr>
          <w:rFonts w:hint="eastAsia"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pPr>
        <w:pStyle w:val="2"/>
        <w:rPr>
          <w:rFonts w:hint="eastAsia" w:ascii="Times New Roman" w:hAnsi="Times New Roman" w:eastAsia="方正仿宋_GB2312" w:cs="Times New Roman"/>
          <w:sz w:val="28"/>
          <w:szCs w:val="28"/>
          <w:lang w:val="en-US" w:eastAsia="zh-CN"/>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3002280" cy="1669415"/>
            <wp:effectExtent l="0" t="0" r="7620" b="698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5"/>
                    <a:stretch>
                      <a:fillRect/>
                    </a:stretch>
                  </pic:blipFill>
                  <pic:spPr>
                    <a:xfrm>
                      <a:off x="0" y="0"/>
                      <a:ext cx="3002280" cy="1669415"/>
                    </a:xfrm>
                    <a:prstGeom prst="rect">
                      <a:avLst/>
                    </a:prstGeom>
                  </pic:spPr>
                </pic:pic>
              </a:graphicData>
            </a:graphic>
          </wp:inline>
        </w:drawing>
      </w:r>
    </w:p>
    <w:p>
      <w:pPr>
        <w:spacing w:line="576" w:lineRule="exact"/>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lang w:val="en-US" w:eastAsia="zh-CN"/>
        </w:rPr>
        <w:t>店铺位置：</w:t>
      </w:r>
    </w:p>
    <w:p>
      <w:pPr>
        <w:rPr>
          <w:rFonts w:hint="eastAsia" w:ascii="Times New Roman" w:hAnsi="Times New Roman" w:cs="Times New Roman"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1342390</wp:posOffset>
                </wp:positionH>
                <wp:positionV relativeFrom="paragraph">
                  <wp:posOffset>1752600</wp:posOffset>
                </wp:positionV>
                <wp:extent cx="76200" cy="82550"/>
                <wp:effectExtent l="9525" t="9525" r="9525" b="22225"/>
                <wp:wrapNone/>
                <wp:docPr id="13" name="矩形 13"/>
                <wp:cNvGraphicFramePr/>
                <a:graphic xmlns:a="http://schemas.openxmlformats.org/drawingml/2006/main">
                  <a:graphicData uri="http://schemas.microsoft.com/office/word/2010/wordprocessingShape">
                    <wps:wsp>
                      <wps:cNvSpPr/>
                      <wps:spPr>
                        <a:xfrm flipH="1" flipV="1">
                          <a:off x="0" y="0"/>
                          <a:ext cx="76200" cy="82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 y;margin-left:105.7pt;margin-top:138pt;height:6.5pt;width:6pt;z-index:251660288;v-text-anchor:middle;mso-width-relative:page;mso-height-relative:page;" filled="f" stroked="t" coordsize="21600,21600" o:gfxdata="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oxsu62AAAAAsBAAAPAAAAAAAAAAEAIAAAACIAAABkcnMvZG93&#10;bnJldi54bWxQSwECFAAUAAAACACHTuJALukZC3ICAADeBAAADgAAAAAAAAABACAAAAAnAQAAZHJz&#10;L2Uyb0RvYy54bWxQSwUGAAAAAAYABgBZAQAACwYAAAAA&#10;">
                <v:fill on="f" focussize="0,0"/>
                <v:stroke weight="1.5pt" color="#FF0000 [3204]" miterlimit="8" joinstyle="miter"/>
                <v:imagedata o:title=""/>
                <o:lock v:ext="edit" aspectratio="f"/>
              </v:rect>
            </w:pict>
          </mc:Fallback>
        </mc:AlternateContent>
      </w:r>
      <w:r>
        <w:rPr>
          <w:rFonts w:hint="eastAsia" w:ascii="Times New Roman" w:hAnsi="Times New Roman" w:cs="Times New Roman" w:eastAsiaTheme="minorEastAsia"/>
          <w:lang w:eastAsia="zh-CN"/>
        </w:rPr>
        <w:drawing>
          <wp:inline distT="0" distB="0" distL="114300" distR="114300">
            <wp:extent cx="3860165" cy="2171065"/>
            <wp:effectExtent l="0" t="0" r="6985" b="635"/>
            <wp:docPr id="2" name="图片 2" descr="175430046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54300464481"/>
                    <pic:cNvPicPr>
                      <a:picLocks noChangeAspect="1"/>
                    </pic:cNvPicPr>
                  </pic:nvPicPr>
                  <pic:blipFill>
                    <a:blip r:embed="rId16"/>
                    <a:stretch>
                      <a:fillRect/>
                    </a:stretch>
                  </pic:blipFill>
                  <pic:spPr>
                    <a:xfrm>
                      <a:off x="0" y="0"/>
                      <a:ext cx="3860165" cy="2171065"/>
                    </a:xfrm>
                    <a:prstGeom prst="rect">
                      <a:avLst/>
                    </a:prstGeom>
                  </pic:spPr>
                </pic:pic>
              </a:graphicData>
            </a:graphic>
          </wp:inline>
        </w:drawing>
      </w:r>
    </w:p>
    <w:p>
      <w:pPr>
        <w:pStyle w:val="2"/>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524760" cy="1904365"/>
            <wp:effectExtent l="0" t="0" r="889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2524760" cy="1904365"/>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pPr>
        <w:spacing w:line="640" w:lineRule="atLeast"/>
        <w:rPr>
          <w:rFonts w:hint="default" w:ascii="Times New Roman" w:hAnsi="Times New Roman" w:eastAsia="方正仿宋_GB2312" w:cs="Times New Roman"/>
          <w:b/>
          <w:sz w:val="28"/>
          <w:szCs w:val="28"/>
          <w:highlight w:val="none"/>
        </w:rPr>
      </w:pPr>
    </w:p>
    <w:p>
      <w:pPr>
        <w:pStyle w:val="2"/>
        <w:rPr>
          <w:rFonts w:hint="default" w:ascii="Times New Roman" w:hAnsi="Times New Roman" w:eastAsia="方正仿宋_GB2312" w:cs="Times New Roman"/>
          <w:sz w:val="28"/>
          <w:szCs w:val="28"/>
          <w:highlight w:val="none"/>
        </w:rPr>
      </w:pPr>
    </w:p>
    <w:p>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pPr>
        <w:pStyle w:val="5"/>
        <w:spacing w:line="640" w:lineRule="atLeast"/>
        <w:rPr>
          <w:rFonts w:hint="default" w:ascii="Times New Roman" w:hAnsi="Times New Roman" w:eastAsia="方正仿宋_GB2312" w:cs="Times New Roman"/>
          <w:sz w:val="28"/>
          <w:szCs w:val="28"/>
          <w:highlight w:val="none"/>
        </w:rPr>
      </w:pPr>
    </w:p>
    <w:p>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pPr>
        <w:pStyle w:val="5"/>
        <w:spacing w:line="640" w:lineRule="atLeast"/>
        <w:rPr>
          <w:rFonts w:hint="default" w:ascii="Times New Roman" w:hAnsi="Times New Roman" w:eastAsia="方正仿宋_GB2312" w:cs="Times New Roman"/>
          <w:sz w:val="28"/>
          <w:szCs w:val="28"/>
          <w:highlight w:val="none"/>
        </w:rPr>
      </w:pPr>
    </w:p>
    <w:p>
      <w:pPr>
        <w:spacing w:line="640" w:lineRule="atLeast"/>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商业街区A1号楼</w:t>
      </w:r>
      <w:r>
        <w:rPr>
          <w:rFonts w:hint="eastAsia" w:ascii="Times New Roman" w:hAnsi="Times New Roman" w:eastAsia="方正仿宋_GB2312" w:cs="Times New Roman"/>
          <w:sz w:val="28"/>
          <w:szCs w:val="28"/>
          <w:highlight w:val="none"/>
          <w:u w:val="none"/>
          <w:lang w:val="en-US" w:eastAsia="zh-CN"/>
        </w:rPr>
        <w:t>1</w:t>
      </w:r>
      <w:r>
        <w:rPr>
          <w:rFonts w:hint="default" w:ascii="Times New Roman" w:hAnsi="Times New Roman" w:eastAsia="方正仿宋_GB2312" w:cs="Times New Roman"/>
          <w:sz w:val="28"/>
          <w:szCs w:val="28"/>
          <w:highlight w:val="none"/>
          <w:u w:val="none"/>
        </w:rPr>
        <w:t>层</w:t>
      </w:r>
      <w:r>
        <w:rPr>
          <w:rFonts w:hint="eastAsia" w:ascii="Times New Roman" w:hAnsi="Times New Roman" w:eastAsia="方正仿宋_GB2312" w:cs="Times New Roman"/>
          <w:sz w:val="28"/>
          <w:szCs w:val="28"/>
          <w:highlight w:val="none"/>
          <w:u w:val="none"/>
          <w:lang w:val="en-US" w:eastAsia="zh-CN"/>
        </w:rPr>
        <w:t>140</w:t>
      </w:r>
      <w:r>
        <w:rPr>
          <w:rFonts w:hint="default" w:ascii="Times New Roman" w:hAnsi="Times New Roman" w:eastAsia="方正仿宋_GB2312" w:cs="Times New Roman"/>
          <w:sz w:val="28"/>
          <w:szCs w:val="28"/>
          <w:highlight w:val="none"/>
          <w:u w:val="none"/>
        </w:rPr>
        <w:t xml:space="preserve">号商铺 </w:t>
      </w:r>
      <w:r>
        <w:rPr>
          <w:rFonts w:hint="default" w:ascii="Times New Roman" w:hAnsi="Times New Roman" w:eastAsia="方正仿宋_GB2312" w:cs="Times New Roman"/>
          <w:sz w:val="28"/>
          <w:szCs w:val="28"/>
          <w:highlight w:val="none"/>
        </w:rPr>
        <w:t xml:space="preserve">                   </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rPr>
          <w:rFonts w:hint="default" w:ascii="Times New Roman" w:hAnsi="Times New Roman" w:eastAsia="方正仿宋_GB2312" w:cs="Times New Roman"/>
          <w:b/>
          <w:bCs/>
          <w:sz w:val="28"/>
          <w:szCs w:val="28"/>
          <w:highlight w:val="none"/>
        </w:rPr>
      </w:pPr>
    </w:p>
    <w:p>
      <w:pPr>
        <w:pStyle w:val="2"/>
        <w:rPr>
          <w:rFonts w:hint="default" w:ascii="Times New Roman" w:hAnsi="Times New Roman" w:eastAsia="方正仿宋_GB2312" w:cs="Times New Roman"/>
          <w:b/>
          <w:bCs/>
          <w:sz w:val="28"/>
          <w:szCs w:val="28"/>
          <w:highlight w:val="none"/>
        </w:rPr>
      </w:pPr>
    </w:p>
    <w:p>
      <w:pPr>
        <w:rPr>
          <w:rFonts w:hint="default"/>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p>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pPr>
        <w:pStyle w:val="2"/>
        <w:numPr>
          <w:ilvl w:val="0"/>
          <w:numId w:val="0"/>
        </w:numPr>
        <w:rPr>
          <w:rFonts w:hint="default" w:ascii="Times New Roman" w:hAnsi="Times New Roman" w:cs="Times New Roman"/>
          <w:highlight w:val="none"/>
        </w:rPr>
      </w:pPr>
    </w:p>
    <w:p>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pPr>
        <w:spacing w:after="120" w:line="640" w:lineRule="atLeast"/>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pStyle w:val="2"/>
        <w:rPr>
          <w:rFonts w:hint="eastAsia"/>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rPr>
        <w:t>A1号楼</w:t>
      </w:r>
      <w:r>
        <w:rPr>
          <w:rFonts w:hint="eastAsia" w:ascii="Times New Roman" w:hAnsi="Times New Roman" w:eastAsia="方正仿宋_GB2312" w:cs="Times New Roman"/>
          <w:sz w:val="28"/>
          <w:szCs w:val="28"/>
          <w:highlight w:val="none"/>
          <w:u w:val="single"/>
          <w:lang w:val="en-US" w:eastAsia="zh-CN"/>
        </w:rPr>
        <w:t>1</w:t>
      </w:r>
      <w:r>
        <w:rPr>
          <w:rFonts w:hint="default" w:ascii="Times New Roman" w:hAnsi="Times New Roman" w:eastAsia="方正仿宋_GB2312" w:cs="Times New Roman"/>
          <w:sz w:val="28"/>
          <w:szCs w:val="28"/>
          <w:highlight w:val="none"/>
          <w:u w:val="single"/>
        </w:rPr>
        <w:t>层</w:t>
      </w:r>
      <w:r>
        <w:rPr>
          <w:rFonts w:hint="eastAsia" w:ascii="Times New Roman" w:hAnsi="Times New Roman" w:eastAsia="方正仿宋_GB2312" w:cs="Times New Roman"/>
          <w:sz w:val="28"/>
          <w:szCs w:val="28"/>
          <w:highlight w:val="none"/>
          <w:u w:val="single"/>
          <w:lang w:val="en-US" w:eastAsia="zh-CN"/>
        </w:rPr>
        <w:t>140</w:t>
      </w:r>
      <w:r>
        <w:rPr>
          <w:rFonts w:hint="default" w:ascii="Times New Roman" w:hAnsi="Times New Roman" w:eastAsia="方正仿宋_GB2312" w:cs="Times New Roman"/>
          <w:sz w:val="28"/>
          <w:szCs w:val="28"/>
          <w:highlight w:val="none"/>
          <w:u w:val="single"/>
        </w:rPr>
        <w:t>号商铺</w:t>
      </w:r>
      <w:r>
        <w:rPr>
          <w:rFonts w:hint="default" w:ascii="Times New Roman" w:hAnsi="Times New Roman" w:eastAsia="方正仿宋_GB2312" w:cs="Times New Roman"/>
          <w:sz w:val="28"/>
          <w:szCs w:val="28"/>
          <w:highlight w:val="none"/>
          <w:u w:val="single"/>
          <w:lang w:val="en-US" w:eastAsia="zh-CN"/>
        </w:rPr>
        <w:t xml:space="preserve">     </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eastAsia" w:ascii="Times New Roman" w:hAnsi="Times New Roman" w:eastAsia="方正仿宋_GB2312" w:cs="Times New Roman"/>
          <w:sz w:val="28"/>
          <w:szCs w:val="28"/>
          <w:highlight w:val="none"/>
          <w:lang w:val="en-US" w:eastAsia="zh-CN"/>
        </w:rPr>
        <w:t>运营培育</w:t>
      </w:r>
      <w:r>
        <w:rPr>
          <w:rFonts w:hint="default" w:ascii="Times New Roman" w:hAnsi="Times New Roman" w:eastAsia="方正仿宋_GB2312" w:cs="Times New Roman"/>
          <w:sz w:val="28"/>
          <w:szCs w:val="28"/>
          <w:highlight w:val="none"/>
          <w:lang w:val="en-US" w:eastAsia="zh-CN"/>
        </w:rPr>
        <w:t>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lang w:val="en-US" w:eastAsia="zh-CN"/>
        </w:rPr>
        <w:t>2</w:t>
      </w:r>
      <w:r>
        <w:rPr>
          <w:rFonts w:hint="eastAsia" w:ascii="Times New Roman" w:hAnsi="Times New Roman" w:eastAsia="方正仿宋_GB2312" w:cs="Times New Roman"/>
          <w:sz w:val="28"/>
          <w:szCs w:val="28"/>
          <w:highlight w:val="none"/>
          <w:u w:val="single"/>
          <w:lang w:val="en-US" w:eastAsia="zh-CN"/>
        </w:rPr>
        <w:t>个月租金</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u w:val="single"/>
          <w:lang w:val="en-US" w:eastAsia="zh-CN"/>
        </w:rPr>
        <w:t xml:space="preserve">季度支付 </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  月  日</w:t>
      </w: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pStyle w:val="2"/>
        <w:rPr>
          <w:rFonts w:hint="default" w:ascii="Times New Roman" w:hAnsi="Times New Roman" w:eastAsia="方正仿宋_GB2312" w:cs="Times New Roman"/>
          <w:sz w:val="28"/>
          <w:szCs w:val="28"/>
          <w:highlight w:val="none"/>
          <w:lang w:val="en-US" w:eastAsia="zh-CN"/>
        </w:rPr>
      </w:pPr>
    </w:p>
    <w:p>
      <w:pPr>
        <w:rPr>
          <w:rFonts w:hint="default" w:ascii="Times New Roman" w:hAnsi="Times New Roman" w:eastAsia="方正仿宋_GB2312" w:cs="Times New Roman"/>
          <w:sz w:val="28"/>
          <w:szCs w:val="28"/>
          <w:highlight w:val="none"/>
          <w:lang w:val="en-US" w:eastAsia="zh-CN"/>
        </w:rPr>
      </w:pPr>
    </w:p>
    <w:p>
      <w:pPr>
        <w:pStyle w:val="2"/>
        <w:rPr>
          <w:rFonts w:hint="default" w:ascii="Times New Roman" w:hAnsi="Times New Roman" w:eastAsia="方正仿宋_GB2312" w:cs="Times New Roman"/>
          <w:sz w:val="28"/>
          <w:szCs w:val="28"/>
          <w:highlight w:val="none"/>
          <w:lang w:val="en-US" w:eastAsia="zh-CN"/>
        </w:rPr>
      </w:pPr>
    </w:p>
    <w:p>
      <w:pPr>
        <w:rPr>
          <w:rFonts w:hint="default"/>
          <w:lang w:val="en-US" w:eastAsia="zh-CN"/>
        </w:rPr>
      </w:pPr>
    </w:p>
    <w:p>
      <w:pPr>
        <w:pStyle w:val="2"/>
        <w:rPr>
          <w:rFonts w:hint="default"/>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pStyle w:val="2"/>
        <w:rPr>
          <w:rFonts w:hint="eastAsia"/>
          <w:lang w:eastAsia="zh-CN"/>
        </w:rPr>
      </w:pPr>
    </w:p>
    <w:p>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pStyle w:val="2"/>
        <w:rPr>
          <w:rFonts w:hint="eastAsia" w:ascii="Times New Roman" w:hAnsi="Times New Roman" w:eastAsia="方正仿宋_GB2312" w:cs="Times New Roman"/>
          <w:sz w:val="28"/>
          <w:szCs w:val="28"/>
          <w:lang w:val="en-US" w:eastAsia="zh-CN"/>
        </w:rPr>
      </w:pPr>
    </w:p>
    <w:p>
      <w:pPr>
        <w:rPr>
          <w:rFonts w:hint="eastAsia" w:ascii="Times New Roman" w:hAnsi="Times New Roman" w:eastAsia="方正仿宋_GB2312" w:cs="Times New Roman"/>
          <w:sz w:val="28"/>
          <w:szCs w:val="28"/>
          <w:lang w:val="en-US" w:eastAsia="zh-CN"/>
        </w:rPr>
      </w:pPr>
    </w:p>
    <w:p>
      <w:pPr>
        <w:pStyle w:val="2"/>
        <w:rPr>
          <w:rFonts w:hint="eastAsia" w:ascii="Times New Roman" w:hAnsi="Times New Roman" w:eastAsia="方正仿宋_GB2312" w:cs="Times New Roman"/>
          <w:sz w:val="28"/>
          <w:szCs w:val="28"/>
          <w:lang w:val="en-US" w:eastAsia="zh-CN"/>
        </w:rPr>
      </w:pPr>
    </w:p>
    <w:p>
      <w:pPr>
        <w:rPr>
          <w:rFonts w:hint="eastAsia" w:ascii="Times New Roman" w:hAnsi="Times New Roman" w:eastAsia="方正仿宋_GB2312" w:cs="Times New Roman"/>
          <w:sz w:val="28"/>
          <w:szCs w:val="28"/>
          <w:lang w:val="en-US" w:eastAsia="zh-CN"/>
        </w:rPr>
      </w:pPr>
    </w:p>
    <w:p>
      <w:pPr>
        <w:pStyle w:val="2"/>
        <w:rPr>
          <w:rFonts w:hint="eastAsia"/>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default"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附件4：合同模板</w:t>
      </w:r>
    </w:p>
    <w:p>
      <w:pPr>
        <w:rPr>
          <w:rFonts w:hint="default"/>
          <w:sz w:val="20"/>
          <w:szCs w:val="21"/>
        </w:rPr>
      </w:pPr>
    </w:p>
    <w:p>
      <w:pPr>
        <w:spacing w:before="120" w:beforeLines="50" w:after="120" w:afterLines="50"/>
        <w:jc w:val="center"/>
        <w:rPr>
          <w:rFonts w:hint="eastAsia" w:ascii="宋体" w:hAnsi="宋体" w:eastAsia="宋体" w:cs="宋体"/>
          <w:b/>
          <w:sz w:val="22"/>
          <w:szCs w:val="22"/>
          <w:u w:val="single"/>
        </w:rPr>
      </w:pPr>
      <w:r>
        <w:rPr>
          <w:rFonts w:hint="eastAsia" w:ascii="宋体" w:hAnsi="宋体" w:eastAsia="宋体" w:cs="宋体"/>
          <w:b/>
          <w:szCs w:val="28"/>
          <w:lang w:val="en-US" w:eastAsia="zh-CN"/>
        </w:rPr>
        <w:t xml:space="preserve">  </w:t>
      </w:r>
      <w:r>
        <w:rPr>
          <w:rFonts w:hint="eastAsia" w:ascii="宋体" w:hAnsi="宋体" w:eastAsia="宋体" w:cs="宋体"/>
          <w:b/>
          <w:sz w:val="22"/>
          <w:szCs w:val="22"/>
        </w:rPr>
        <w:t xml:space="preserve">合同编号：NO. </w:t>
      </w:r>
      <w:r>
        <w:rPr>
          <w:rFonts w:hint="eastAsia" w:ascii="宋体" w:hAnsi="宋体" w:eastAsia="宋体" w:cs="宋体"/>
          <w:b/>
          <w:sz w:val="22"/>
          <w:szCs w:val="22"/>
          <w:u w:val="single"/>
        </w:rPr>
        <w:t xml:space="preserve">                 </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r>
        <w:rPr>
          <w:rFonts w:hint="eastAsia" w:ascii="宋体" w:hAnsi="宋体" w:eastAsia="宋体" w:cs="宋体"/>
          <w:b/>
          <w:sz w:val="32"/>
          <w:szCs w:val="32"/>
        </w:rPr>
        <w:t>天府国际动漫城</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租</w:t>
      </w: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赁</w:t>
      </w: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合</w:t>
      </w: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同</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r>
        <w:rPr>
          <w:rFonts w:hint="eastAsia" w:ascii="宋体" w:hAnsi="宋体" w:eastAsia="宋体" w:cs="宋体"/>
          <w:b/>
          <w:szCs w:val="28"/>
        </w:rPr>
        <w:t xml:space="preserve">               </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 w:val="22"/>
          <w:szCs w:val="22"/>
        </w:rPr>
      </w:pPr>
      <w:r>
        <w:rPr>
          <w:rFonts w:hint="eastAsia" w:ascii="宋体" w:hAnsi="宋体" w:eastAsia="宋体" w:cs="宋体"/>
          <w:b/>
          <w:szCs w:val="28"/>
        </w:rPr>
        <w:t>二○二</w:t>
      </w:r>
      <w:r>
        <w:rPr>
          <w:rFonts w:hint="eastAsia" w:ascii="宋体" w:hAnsi="宋体" w:eastAsia="宋体" w:cs="宋体"/>
          <w:b/>
          <w:szCs w:val="28"/>
          <w:lang w:eastAsia="zh-CN"/>
        </w:rPr>
        <w:t>五</w:t>
      </w:r>
      <w:r>
        <w:rPr>
          <w:rFonts w:hint="eastAsia" w:ascii="宋体" w:hAnsi="宋体" w:eastAsia="宋体" w:cs="宋体"/>
          <w:b/>
          <w:szCs w:val="28"/>
        </w:rPr>
        <w:t>年   月</w:t>
      </w:r>
      <w:r>
        <w:rPr>
          <w:rFonts w:hint="eastAsia" w:ascii="宋体" w:hAnsi="宋体" w:eastAsia="宋体" w:cs="宋体"/>
          <w:b/>
          <w:sz w:val="22"/>
          <w:szCs w:val="22"/>
        </w:rPr>
        <w:t xml:space="preserve"> </w:t>
      </w:r>
    </w:p>
    <w:p>
      <w:pPr>
        <w:spacing w:before="120" w:beforeLines="50" w:after="120" w:afterLines="50"/>
        <w:jc w:val="center"/>
        <w:rPr>
          <w:rFonts w:hint="eastAsia" w:ascii="Arial" w:hAnsi="Arial" w:eastAsia="宋体" w:cs="宋体"/>
          <w:b/>
          <w:szCs w:val="28"/>
        </w:rPr>
        <w:sectPr>
          <w:footerReference r:id="rId3" w:type="default"/>
          <w:pgSz w:w="11906" w:h="16838"/>
          <w:pgMar w:top="1440" w:right="1417" w:bottom="1440" w:left="1417" w:header="708" w:footer="709" w:gutter="0"/>
          <w:pgNumType w:start="1"/>
          <w:cols w:space="720" w:num="1"/>
          <w:docGrid w:linePitch="360" w:charSpace="0"/>
        </w:sectPr>
      </w:pPr>
    </w:p>
    <w:p>
      <w:pPr>
        <w:spacing w:before="120" w:beforeLines="50" w:after="120" w:afterLines="50"/>
        <w:jc w:val="center"/>
        <w:rPr>
          <w:rFonts w:ascii="Arial" w:hAnsi="Arial" w:eastAsia="宋体" w:cs="宋体"/>
          <w:b/>
          <w:szCs w:val="28"/>
        </w:rPr>
      </w:pPr>
      <w:r>
        <w:rPr>
          <w:rFonts w:hint="eastAsia" w:ascii="Arial" w:hAnsi="Arial" w:eastAsia="宋体" w:cs="宋体"/>
          <w:b/>
          <w:szCs w:val="28"/>
        </w:rPr>
        <w:t>天府国际动漫城</w:t>
      </w:r>
    </w:p>
    <w:p>
      <w:pPr>
        <w:spacing w:before="120" w:beforeLines="50" w:after="120" w:afterLines="50"/>
        <w:jc w:val="center"/>
        <w:rPr>
          <w:rFonts w:ascii="Arial" w:hAnsi="Arial" w:eastAsia="宋体" w:cs="宋体"/>
          <w:b/>
          <w:szCs w:val="28"/>
        </w:rPr>
      </w:pPr>
      <w:r>
        <w:rPr>
          <w:rFonts w:hint="eastAsia" w:ascii="Arial" w:hAnsi="Arial" w:eastAsia="宋体" w:cs="宋体"/>
          <w:b/>
          <w:szCs w:val="28"/>
        </w:rPr>
        <w:t>租赁合同</w:t>
      </w:r>
    </w:p>
    <w:p>
      <w:pPr>
        <w:spacing w:before="120" w:beforeLines="50" w:after="120" w:afterLines="50"/>
        <w:jc w:val="center"/>
        <w:rPr>
          <w:rFonts w:ascii="Arial" w:hAnsi="Arial" w:eastAsia="宋体" w:cs="宋体"/>
          <w:b/>
          <w:sz w:val="22"/>
          <w:szCs w:val="22"/>
        </w:rPr>
      </w:pPr>
      <w:r>
        <w:rPr>
          <w:rFonts w:ascii="Arial" w:hAnsi="Arial" w:eastAsia="宋体" w:cs="宋体"/>
          <w:b/>
          <w:sz w:val="22"/>
          <w:szCs w:val="22"/>
        </w:rPr>
        <w:t xml:space="preserve">     </w:t>
      </w:r>
    </w:p>
    <w:p>
      <w:pPr>
        <w:spacing w:before="120" w:beforeLines="50" w:after="120" w:afterLines="50"/>
        <w:ind w:firstLine="442" w:firstLineChars="200"/>
        <w:rPr>
          <w:rFonts w:ascii="Arial" w:hAnsi="Arial" w:eastAsia="宋体" w:cs="宋体"/>
          <w:b/>
          <w:sz w:val="22"/>
          <w:szCs w:val="22"/>
        </w:rPr>
      </w:pPr>
    </w:p>
    <w:p>
      <w:pPr>
        <w:keepNext w:val="0"/>
        <w:keepLines w:val="0"/>
        <w:pageBreakBefore w:val="0"/>
        <w:kinsoku/>
        <w:wordWrap/>
        <w:overflowPunct/>
        <w:topLinePunct w:val="0"/>
        <w:autoSpaceDE/>
        <w:autoSpaceDN/>
        <w:bidi w:val="0"/>
        <w:adjustRightInd/>
        <w:snapToGrid/>
        <w:spacing w:line="440" w:lineRule="exact"/>
        <w:textAlignment w:val="auto"/>
        <w:rPr>
          <w:rFonts w:ascii="Arial" w:hAnsi="Arial" w:eastAsia="宋体"/>
          <w:b/>
          <w:bCs/>
          <w:sz w:val="22"/>
          <w:szCs w:val="22"/>
        </w:rPr>
      </w:pPr>
      <w:r>
        <w:rPr>
          <w:rFonts w:hint="eastAsia" w:ascii="Arial" w:hAnsi="Arial" w:eastAsia="宋体"/>
          <w:b/>
          <w:sz w:val="22"/>
          <w:szCs w:val="22"/>
        </w:rPr>
        <w:t>出租人</w:t>
      </w:r>
      <w:r>
        <w:rPr>
          <w:rFonts w:ascii="Arial" w:hAnsi="Arial" w:eastAsia="宋体"/>
          <w:b/>
          <w:sz w:val="22"/>
          <w:szCs w:val="22"/>
        </w:rPr>
        <w:t>（以下简称甲方）</w:t>
      </w:r>
      <w:r>
        <w:rPr>
          <w:rFonts w:ascii="Arial" w:hAnsi="Arial" w:eastAsia="宋体"/>
          <w:b/>
          <w:sz w:val="22"/>
          <w:szCs w:val="22"/>
        </w:rPr>
        <w:tab/>
      </w:r>
      <w:r>
        <w:rPr>
          <w:rFonts w:ascii="Arial" w:hAnsi="Arial" w:eastAsia="宋体"/>
          <w:b/>
          <w:sz w:val="22"/>
          <w:szCs w:val="22"/>
        </w:rPr>
        <w:t>：</w:t>
      </w:r>
      <w:r>
        <w:rPr>
          <w:rFonts w:hint="eastAsia" w:ascii="Arial" w:hAnsi="Arial" w:eastAsia="宋体"/>
          <w:sz w:val="22"/>
          <w:szCs w:val="22"/>
        </w:rPr>
        <w:t xml:space="preserve"> </w:t>
      </w:r>
      <w:r>
        <w:rPr>
          <w:rFonts w:hint="eastAsia" w:ascii="Arial" w:hAnsi="Arial" w:eastAsia="宋体"/>
          <w:b/>
          <w:bCs/>
          <w:sz w:val="22"/>
          <w:szCs w:val="22"/>
        </w:rPr>
        <w:t>四川旅投漫话世界旅游开发有限责任公司</w:t>
      </w:r>
    </w:p>
    <w:p>
      <w:pPr>
        <w:keepNext w:val="0"/>
        <w:keepLines w:val="0"/>
        <w:pageBreakBefore w:val="0"/>
        <w:kinsoku/>
        <w:wordWrap/>
        <w:overflowPunct/>
        <w:topLinePunct w:val="0"/>
        <w:autoSpaceDE/>
        <w:autoSpaceDN/>
        <w:bidi w:val="0"/>
        <w:adjustRightInd/>
        <w:snapToGrid/>
        <w:spacing w:line="440" w:lineRule="exact"/>
        <w:textAlignment w:val="auto"/>
        <w:rPr>
          <w:rFonts w:ascii="Arial" w:hAnsi="Arial" w:eastAsia="宋体"/>
          <w:b/>
          <w:sz w:val="22"/>
          <w:szCs w:val="22"/>
        </w:rPr>
      </w:pPr>
      <w:r>
        <w:rPr>
          <w:rFonts w:hint="eastAsia" w:ascii="Arial" w:hAnsi="Arial" w:eastAsia="宋体"/>
          <w:b/>
          <w:sz w:val="22"/>
          <w:szCs w:val="22"/>
        </w:rPr>
        <w:t>统一社会信用代码</w:t>
      </w:r>
      <w:r>
        <w:rPr>
          <w:rFonts w:ascii="Arial" w:hAnsi="Arial" w:eastAsia="宋体"/>
          <w:b/>
          <w:sz w:val="22"/>
          <w:szCs w:val="22"/>
        </w:rPr>
        <w:t>：</w:t>
      </w:r>
      <w:r>
        <w:rPr>
          <w:rFonts w:hint="eastAsia" w:ascii="Arial" w:hAnsi="Arial" w:eastAsia="宋体"/>
          <w:sz w:val="22"/>
          <w:szCs w:val="22"/>
        </w:rPr>
        <w:t xml:space="preserve"> </w:t>
      </w:r>
    </w:p>
    <w:p>
      <w:pPr>
        <w:keepNext w:val="0"/>
        <w:keepLines w:val="0"/>
        <w:pageBreakBefore w:val="0"/>
        <w:kinsoku/>
        <w:wordWrap/>
        <w:overflowPunct/>
        <w:topLinePunct w:val="0"/>
        <w:autoSpaceDE/>
        <w:autoSpaceDN/>
        <w:bidi w:val="0"/>
        <w:adjustRightInd/>
        <w:snapToGrid/>
        <w:spacing w:line="440" w:lineRule="exact"/>
        <w:textAlignment w:val="auto"/>
        <w:rPr>
          <w:rFonts w:ascii="Arial" w:hAnsi="Arial" w:eastAsia="宋体"/>
          <w:b/>
          <w:sz w:val="22"/>
          <w:szCs w:val="22"/>
        </w:rPr>
      </w:pPr>
      <w:r>
        <w:rPr>
          <w:rFonts w:ascii="Arial" w:hAnsi="Arial" w:eastAsia="宋体"/>
          <w:b/>
          <w:sz w:val="22"/>
          <w:szCs w:val="22"/>
        </w:rPr>
        <w:t>法定代表人：</w:t>
      </w:r>
      <w:r>
        <w:rPr>
          <w:rFonts w:hint="eastAsia" w:ascii="Arial" w:hAnsi="Arial" w:eastAsia="宋体"/>
          <w:sz w:val="22"/>
          <w:szCs w:val="22"/>
        </w:rPr>
        <w:t xml:space="preserve"> </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rPr>
          <w:rFonts w:ascii="Arial" w:hAnsi="Arial" w:eastAsia="宋体" w:cs="宋体"/>
          <w:sz w:val="22"/>
          <w:szCs w:val="22"/>
        </w:rPr>
      </w:pPr>
      <w:r>
        <w:rPr>
          <w:rFonts w:hint="eastAsia" w:ascii="Arial" w:hAnsi="Arial" w:eastAsia="宋体" w:cs="宋体"/>
          <w:b/>
          <w:sz w:val="22"/>
          <w:szCs w:val="22"/>
        </w:rPr>
        <w:t xml:space="preserve">承租人（以下简称乙方）： </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rPr>
          <w:rFonts w:ascii="Arial" w:hAnsi="Arial" w:eastAsia="宋体" w:cs="宋体"/>
          <w:snapToGrid w:val="0"/>
          <w:kern w:val="0"/>
          <w:sz w:val="22"/>
          <w:szCs w:val="22"/>
        </w:rPr>
      </w:pPr>
      <w:r>
        <w:rPr>
          <w:rFonts w:hint="eastAsia" w:ascii="Arial" w:hAnsi="Arial" w:eastAsia="宋体"/>
          <w:b/>
          <w:sz w:val="22"/>
          <w:szCs w:val="22"/>
        </w:rPr>
        <w:t>统一社会信用代码或身份证号码</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rPr>
          <w:rFonts w:ascii="Arial" w:hAnsi="Arial" w:eastAsia="宋体" w:cs="宋体"/>
          <w:sz w:val="22"/>
          <w:szCs w:val="22"/>
        </w:rPr>
      </w:pPr>
      <w:r>
        <w:rPr>
          <w:rFonts w:hint="eastAsia" w:ascii="Arial" w:hAnsi="Arial" w:eastAsia="宋体" w:cs="宋体"/>
          <w:b/>
          <w:sz w:val="22"/>
          <w:szCs w:val="22"/>
        </w:rPr>
        <w:t>法定代表人或授权代表</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sz w:val="22"/>
          <w:szCs w:val="22"/>
        </w:rPr>
      </w:pPr>
      <w:r>
        <w:rPr>
          <w:rFonts w:hint="eastAsia" w:ascii="Arial" w:hAnsi="Arial" w:eastAsia="宋体" w:cs="宋体"/>
          <w:b/>
          <w:bCs/>
          <w:sz w:val="22"/>
          <w:szCs w:val="22"/>
        </w:rPr>
        <w:t>鉴于：</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hint="eastAsia" w:ascii="Arial" w:hAnsi="Arial" w:eastAsia="宋体" w:cs="宋体"/>
          <w:sz w:val="22"/>
          <w:szCs w:val="22"/>
          <w:lang w:eastAsia="zh-CN"/>
        </w:rPr>
        <w:t>、</w:t>
      </w:r>
      <w:r>
        <w:rPr>
          <w:rFonts w:hint="eastAsia" w:ascii="Arial" w:hAnsi="Arial" w:eastAsia="宋体" w:cs="宋体"/>
          <w:sz w:val="22"/>
          <w:szCs w:val="22"/>
        </w:rPr>
        <w:t>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w:t>
      </w:r>
      <w:r>
        <w:rPr>
          <w:rFonts w:hint="eastAsia" w:ascii="Arial" w:hAnsi="Arial" w:eastAsia="宋体" w:cs="宋体"/>
          <w:sz w:val="22"/>
          <w:szCs w:val="22"/>
          <w:lang w:eastAsia="zh-CN"/>
        </w:rPr>
        <w:t>、</w:t>
      </w:r>
      <w:r>
        <w:rPr>
          <w:rFonts w:hint="eastAsia" w:ascii="Arial" w:hAnsi="Arial" w:eastAsia="宋体" w:cs="宋体"/>
          <w:sz w:val="22"/>
          <w:szCs w:val="22"/>
        </w:rPr>
        <w:t>本合同甲方四川旅投漫话世界旅游开发有限责任公司是依据前述背景所设立的独立法人，系“天府国际动漫城”项目的投资主体、建设单位及业主单位。</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3</w:t>
      </w:r>
      <w:r>
        <w:rPr>
          <w:rFonts w:hint="eastAsia" w:ascii="Arial" w:hAnsi="Arial" w:eastAsia="宋体" w:cs="宋体"/>
          <w:sz w:val="22"/>
          <w:szCs w:val="22"/>
          <w:lang w:eastAsia="zh-CN"/>
        </w:rPr>
        <w:t>、</w:t>
      </w:r>
      <w:r>
        <w:rPr>
          <w:rFonts w:hint="eastAsia" w:ascii="Arial" w:hAnsi="Arial" w:eastAsia="宋体" w:cs="宋体"/>
          <w:sz w:val="22"/>
          <w:szCs w:val="22"/>
        </w:rPr>
        <w:t>为更快更优实现“天府国际动漫城”的产业、旅游、文创功能布局及属性，甲方通过公开招募程序招募承租人，乙方在甲方的招募过程中凭借其优势中选成为“天府国际动漫城”商业部分承租方。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经双方协商一致，在自愿、平等的基础上，共同签订本租赁合同并以兹遵守：</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sz w:val="22"/>
          <w:szCs w:val="22"/>
        </w:rPr>
      </w:pPr>
      <w:r>
        <w:rPr>
          <w:rFonts w:hint="eastAsia" w:ascii="Arial" w:hAnsi="Arial" w:eastAsia="宋体" w:cs="宋体"/>
          <w:b/>
          <w:sz w:val="22"/>
          <w:szCs w:val="22"/>
        </w:rPr>
        <w:t>1、定义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hint="eastAsia" w:ascii="Arial" w:hAnsi="Arial" w:eastAsia="宋体" w:cs="宋体"/>
          <w:b/>
          <w:bCs/>
          <w:sz w:val="22"/>
          <w:szCs w:val="22"/>
        </w:rPr>
        <w:t>甲方</w:t>
      </w:r>
      <w:r>
        <w:rPr>
          <w:rFonts w:hint="eastAsia" w:ascii="Arial" w:hAnsi="Arial" w:eastAsia="宋体" w:cs="宋体"/>
          <w:sz w:val="22"/>
          <w:szCs w:val="22"/>
        </w:rPr>
        <w:t>”：在本合同项下，甲方指业主方（亦为本合同项下的出租人），是本项目的合法产权人；甲方的工商登记信息以企业营业执照载明信息为准，企业营业执照的复印件详见本合同【附件一】。</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1.2“</w:t>
      </w:r>
      <w:r>
        <w:rPr>
          <w:rFonts w:hint="eastAsia" w:ascii="Arial" w:hAnsi="Arial" w:eastAsia="宋体" w:cs="宋体"/>
          <w:b/>
          <w:bCs/>
          <w:sz w:val="22"/>
          <w:szCs w:val="22"/>
        </w:rPr>
        <w:t>乙方</w:t>
      </w:r>
      <w:r>
        <w:rPr>
          <w:rFonts w:hint="eastAsia" w:ascii="Arial" w:hAnsi="Arial" w:eastAsia="宋体" w:cs="宋体"/>
          <w:sz w:val="22"/>
          <w:szCs w:val="22"/>
        </w:rPr>
        <w:t>”：在本合同项下，乙方指入驻商家，在约定时间内向甲方支付了相应费用后，有权独立自主地利用承租的商铺依法从事本合同约定范围之内的商业经营或服务的主体，即承租商铺的单位或个人，乙方营业执照/身份证复印件详见本合同【附件二】。</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1.3“</w:t>
      </w:r>
      <w:r>
        <w:rPr>
          <w:rFonts w:hint="eastAsia" w:ascii="Arial" w:hAnsi="Arial" w:eastAsia="宋体" w:cs="宋体"/>
          <w:b/>
          <w:bCs/>
          <w:sz w:val="22"/>
          <w:szCs w:val="22"/>
        </w:rPr>
        <w:t>项目</w:t>
      </w:r>
      <w:r>
        <w:rPr>
          <w:rFonts w:hint="eastAsia" w:ascii="Arial" w:hAnsi="Arial" w:eastAsia="宋体" w:cs="宋体"/>
          <w:sz w:val="22"/>
          <w:szCs w:val="22"/>
        </w:rPr>
        <w:t>”：指位于中国四川省成都市成华区青龙街道西林社区十、十一组的“天府国际动漫城”产业商业开发项目。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1.4“</w:t>
      </w:r>
      <w:r>
        <w:rPr>
          <w:rFonts w:hint="eastAsia" w:ascii="Arial" w:hAnsi="Arial" w:eastAsia="宋体" w:cs="宋体"/>
          <w:b/>
          <w:bCs/>
          <w:sz w:val="22"/>
          <w:szCs w:val="22"/>
        </w:rPr>
        <w:t>建筑楼栋</w:t>
      </w:r>
      <w:r>
        <w:rPr>
          <w:rFonts w:hint="eastAsia" w:ascii="Arial" w:hAnsi="Arial" w:eastAsia="宋体" w:cs="宋体"/>
          <w:sz w:val="22"/>
          <w:szCs w:val="22"/>
        </w:rPr>
        <w:t>”：指项目中的</w:t>
      </w:r>
      <w:r>
        <w:rPr>
          <w:rFonts w:hint="eastAsia" w:ascii="Arial" w:hAnsi="Arial" w:eastAsia="宋体" w:cs="宋体"/>
          <w:sz w:val="22"/>
          <w:szCs w:val="22"/>
          <w:u w:val="single"/>
        </w:rPr>
        <w:t xml:space="preserve">    </w:t>
      </w:r>
      <w:r>
        <w:rPr>
          <w:rFonts w:hint="eastAsia" w:ascii="Arial" w:hAnsi="Arial" w:eastAsia="宋体" w:cs="宋体"/>
          <w:sz w:val="22"/>
          <w:szCs w:val="22"/>
        </w:rPr>
        <w:t>号楼，除非特别说明，本合同项下包括建筑、结构、装饰装修、附属设施设备、室外场地、楼顶屋面、广场、停车场、绿化及休闲区域、特定空间、专有及专用空间、公共区域及空间。</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sz w:val="22"/>
          <w:szCs w:val="22"/>
        </w:rPr>
      </w:pPr>
      <w:r>
        <w:rPr>
          <w:rFonts w:hint="eastAsia" w:ascii="Arial" w:hAnsi="Arial" w:eastAsia="宋体" w:cs="宋体"/>
          <w:b/>
          <w:bCs/>
          <w:sz w:val="22"/>
          <w:szCs w:val="22"/>
        </w:rPr>
        <w:t>1.5“公共区域”</w:t>
      </w:r>
      <w:r>
        <w:rPr>
          <w:rFonts w:hint="eastAsia" w:ascii="Arial" w:hAnsi="Arial" w:eastAsia="宋体" w:cs="宋体"/>
          <w:sz w:val="22"/>
          <w:szCs w:val="22"/>
        </w:rPr>
        <w:t>：指项目内除租赁商铺之外的楼梯、通道、卫生间、门厅、中庭、建筑外墙、外立面、广告位等区域（供个别商铺单独使用的区域除外），公共区域的运营及管理权由甲方所有，乙方根据本合同约定进行使用。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1.6“</w:t>
      </w:r>
      <w:r>
        <w:rPr>
          <w:rFonts w:hint="eastAsia" w:ascii="Arial" w:hAnsi="Arial" w:eastAsia="宋体" w:cs="宋体"/>
          <w:b/>
          <w:bCs/>
          <w:sz w:val="22"/>
          <w:szCs w:val="22"/>
        </w:rPr>
        <w:t>商铺</w:t>
      </w:r>
      <w:r>
        <w:rPr>
          <w:rFonts w:hint="eastAsia" w:ascii="Arial" w:hAnsi="Arial" w:eastAsia="宋体" w:cs="宋体"/>
          <w:sz w:val="22"/>
          <w:szCs w:val="22"/>
        </w:rPr>
        <w:t>”：指承租人通过本合同向出租人承租的商铺</w:t>
      </w:r>
      <w:r>
        <w:rPr>
          <w:rFonts w:hint="eastAsia" w:ascii="宋体" w:hAnsi="宋体" w:eastAsia="宋体" w:cs="宋体"/>
          <w:sz w:val="22"/>
          <w:szCs w:val="22"/>
        </w:rPr>
        <w:t>及其附属设施设备，</w:t>
      </w:r>
      <w:r>
        <w:rPr>
          <w:rFonts w:hint="eastAsia" w:ascii="Arial" w:hAnsi="Arial" w:eastAsia="宋体" w:cs="宋体"/>
          <w:sz w:val="22"/>
          <w:szCs w:val="22"/>
        </w:rPr>
        <w:t>以及与该商铺毗连并由出租人同意提供给承租人专属使用的场地区域及空间（如有）。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1.7“</w:t>
      </w:r>
      <w:r>
        <w:rPr>
          <w:rFonts w:hint="eastAsia" w:ascii="Arial" w:hAnsi="Arial" w:eastAsia="宋体" w:cs="宋体"/>
          <w:b/>
          <w:bCs/>
          <w:sz w:val="22"/>
          <w:szCs w:val="22"/>
        </w:rPr>
        <w:t>计租面积</w:t>
      </w:r>
      <w:r>
        <w:rPr>
          <w:rFonts w:hint="eastAsia" w:ascii="Arial" w:hAnsi="Arial" w:eastAsia="宋体" w:cs="宋体"/>
          <w:sz w:val="22"/>
          <w:szCs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w:t>
      </w:r>
      <w:r>
        <w:rPr>
          <w:rFonts w:hint="eastAsia" w:ascii="Arial" w:hAnsi="Arial" w:eastAsia="宋体" w:cs="宋体"/>
          <w:b/>
          <w:bCs/>
          <w:sz w:val="22"/>
          <w:szCs w:val="22"/>
        </w:rPr>
        <w:t>本合同</w:t>
      </w:r>
      <w:r>
        <w:rPr>
          <w:rFonts w:hint="eastAsia" w:ascii="Arial" w:hAnsi="Arial" w:eastAsia="宋体" w:cs="宋体"/>
          <w:sz w:val="22"/>
          <w:szCs w:val="22"/>
        </w:rPr>
        <w:t>”：指本合同及其全部附件。除非特别说明，也包括未来可能签订的任何修订、变更或补充条款。附件及补充协议（如有）均为本合同的有效组成部分。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w:t>
      </w:r>
      <w:r>
        <w:rPr>
          <w:rFonts w:hint="eastAsia" w:ascii="Arial" w:hAnsi="Arial" w:eastAsia="宋体" w:cs="宋体"/>
          <w:b/>
          <w:bCs/>
          <w:sz w:val="22"/>
          <w:szCs w:val="22"/>
        </w:rPr>
        <w:t>履约保证金</w:t>
      </w:r>
      <w:r>
        <w:rPr>
          <w:rFonts w:hint="eastAsia" w:ascii="Arial" w:hAnsi="Arial" w:eastAsia="宋体" w:cs="宋体"/>
          <w:sz w:val="22"/>
          <w:szCs w:val="22"/>
        </w:rPr>
        <w:t>”：指由乙方向甲方支付的用于保证乙方将全面履行本合同约定义务</w:t>
      </w:r>
      <w:r>
        <w:rPr>
          <w:rFonts w:hint="eastAsia" w:ascii="宋体" w:hAnsi="宋体" w:eastAsia="宋体" w:cs="宋体"/>
          <w:sz w:val="22"/>
          <w:szCs w:val="22"/>
        </w:rPr>
        <w:t>及本合同有关债务的款项</w:t>
      </w:r>
      <w:r>
        <w:rPr>
          <w:rFonts w:hint="eastAsia" w:ascii="Arial" w:hAnsi="Arial" w:eastAsia="宋体" w:cs="宋体"/>
          <w:sz w:val="22"/>
          <w:szCs w:val="22"/>
        </w:rPr>
        <w:t>；为免歧义，该履约保证金不是定金，也不被作为预付的租金，仅为乙方忠实履行本合同所约定义务的保证。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1.10“</w:t>
      </w:r>
      <w:r>
        <w:rPr>
          <w:rFonts w:hint="eastAsia" w:ascii="Arial" w:hAnsi="Arial" w:eastAsia="宋体" w:cs="宋体"/>
          <w:b/>
          <w:bCs/>
          <w:sz w:val="22"/>
          <w:szCs w:val="22"/>
        </w:rPr>
        <w:t>综合管理费</w:t>
      </w:r>
      <w:r>
        <w:rPr>
          <w:rFonts w:hint="eastAsia" w:ascii="Arial" w:hAnsi="Arial" w:eastAsia="宋体" w:cs="宋体"/>
          <w:sz w:val="22"/>
          <w:szCs w:val="22"/>
        </w:rPr>
        <w:t>”：指甲方为了维护项目正常运作与</w:t>
      </w:r>
      <w:r>
        <w:rPr>
          <w:rFonts w:hint="eastAsia" w:ascii="宋体" w:hAnsi="宋体" w:eastAsia="宋体" w:cs="宋体"/>
          <w:sz w:val="22"/>
          <w:szCs w:val="22"/>
        </w:rPr>
        <w:t>乙方签订《商业物业综合管理服务协议》，并依据《商业物业综合管理服务协议》，</w:t>
      </w:r>
      <w:r>
        <w:rPr>
          <w:rFonts w:hint="eastAsia" w:ascii="Arial" w:hAnsi="Arial" w:eastAsia="宋体" w:cs="宋体"/>
          <w:sz w:val="22"/>
          <w:szCs w:val="22"/>
        </w:rPr>
        <w:t>向乙方提供的综合管理服务</w:t>
      </w:r>
      <w:r>
        <w:rPr>
          <w:rFonts w:hint="eastAsia" w:ascii="宋体" w:hAnsi="宋体" w:eastAsia="宋体" w:cs="宋体"/>
          <w:sz w:val="22"/>
          <w:szCs w:val="22"/>
        </w:rPr>
        <w:t>而产生的乙方向甲方支付的费用</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sz w:val="22"/>
          <w:szCs w:val="22"/>
        </w:rPr>
      </w:pPr>
      <w:r>
        <w:rPr>
          <w:rFonts w:hint="eastAsia" w:ascii="Arial" w:hAnsi="Arial" w:eastAsia="宋体" w:cs="宋体"/>
          <w:b/>
          <w:bCs/>
          <w:sz w:val="22"/>
          <w:szCs w:val="22"/>
        </w:rPr>
        <w:t>1.11“营业额”</w:t>
      </w:r>
      <w:r>
        <w:rPr>
          <w:rFonts w:hint="eastAsia" w:ascii="Arial" w:hAnsi="Arial" w:eastAsia="宋体" w:cs="宋体"/>
          <w:sz w:val="22"/>
          <w:szCs w:val="22"/>
        </w:rPr>
        <w:t>：指乙方利用该商铺从事经营活动的全部收入，且未扣除任何成本、费用、第三方扣点及税金。营业额包括但不限于在该商铺内购买货物或服务而直接支付的金额、非在该商铺内支付(如在美团、大众点评、饿了么等平台通过网上交易利用支付宝、财付通、微信、ApplePay、云闪付、团购等网络支付途径支付)但在该商铺内取得商品或服务的相应金额、通过发放福利或赠与的方式在该商铺内取得的商品或服务的相应金额、因使用该商铺取得的非商业性收入，以及乙方雇员、代理人、被许可人等与乙方相关的人使用该商铺而取得的收入。各种收入的体现形式包括但不限于:(1)现金支付收入;(2)银行转账支付收入;(3)票据支付收入;(4)购物卡、储值卡支付收入;(5)经第三方支付平台而进行的线上支付收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outlineLvl w:val="0"/>
        <w:rPr>
          <w:rFonts w:ascii="宋体" w:hAnsi="宋体" w:eastAsia="宋体" w:cs="宋体"/>
          <w:bCs/>
          <w:sz w:val="22"/>
          <w:szCs w:val="22"/>
        </w:rPr>
      </w:pPr>
      <w:r>
        <w:rPr>
          <w:rFonts w:hint="eastAsia" w:ascii="Arial" w:hAnsi="Arial" w:eastAsia="宋体" w:cs="宋体"/>
          <w:b/>
          <w:bCs/>
          <w:sz w:val="22"/>
          <w:szCs w:val="22"/>
        </w:rPr>
        <w:t>1.12“租赁期限”</w:t>
      </w:r>
      <w:r>
        <w:rPr>
          <w:rFonts w:hint="eastAsia" w:ascii="宋体" w:hAnsi="宋体" w:eastAsia="宋体" w:cs="宋体"/>
          <w:bCs/>
          <w:sz w:val="22"/>
          <w:szCs w:val="22"/>
        </w:rPr>
        <w:t>：指合同第4.1.1条约定的租赁期限。</w:t>
      </w:r>
    </w:p>
    <w:p>
      <w:pPr>
        <w:pStyle w:val="17"/>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Style w:val="12"/>
          <w:rFonts w:ascii="宋体" w:hAnsi="宋体" w:cs="宋体"/>
          <w:color w:val="000000"/>
          <w:sz w:val="22"/>
          <w:szCs w:val="22"/>
        </w:rPr>
      </w:pPr>
      <w:r>
        <w:rPr>
          <w:rFonts w:hint="eastAsia" w:ascii="Arial" w:hAnsi="Arial" w:cs="宋体"/>
          <w:b/>
          <w:bCs/>
          <w:color w:val="000000"/>
          <w:kern w:val="2"/>
        </w:rPr>
        <w:t>1.13“装修期”</w:t>
      </w:r>
      <w:r>
        <w:rPr>
          <w:rStyle w:val="12"/>
          <w:rFonts w:hint="eastAsia" w:ascii="宋体" w:hAnsi="宋体" w:cs="宋体"/>
          <w:color w:val="000000"/>
          <w:sz w:val="22"/>
          <w:szCs w:val="22"/>
        </w:rPr>
        <w:t>：指合同第8.1条约定的装修期。</w:t>
      </w:r>
    </w:p>
    <w:p>
      <w:pPr>
        <w:pStyle w:val="17"/>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Style w:val="12"/>
          <w:rFonts w:ascii="宋体" w:hAnsi="宋体" w:cs="宋体"/>
          <w:color w:val="000000"/>
          <w:sz w:val="22"/>
          <w:szCs w:val="22"/>
        </w:rPr>
      </w:pPr>
      <w:r>
        <w:rPr>
          <w:rFonts w:hint="eastAsia" w:ascii="Arial" w:hAnsi="Arial" w:cs="宋体"/>
          <w:b/>
          <w:bCs/>
          <w:color w:val="000000"/>
          <w:kern w:val="2"/>
        </w:rPr>
        <w:t>1.14“计租期”</w:t>
      </w:r>
      <w:r>
        <w:rPr>
          <w:rStyle w:val="12"/>
          <w:rFonts w:hint="eastAsia" w:ascii="宋体" w:hAnsi="宋体" w:cs="宋体"/>
          <w:color w:val="000000"/>
          <w:sz w:val="22"/>
          <w:szCs w:val="22"/>
        </w:rPr>
        <w:t>：自开业日（计租日）起至租赁期限届满之日。</w:t>
      </w:r>
    </w:p>
    <w:p>
      <w:pPr>
        <w:pStyle w:val="17"/>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Style w:val="12"/>
          <w:rFonts w:ascii="宋体" w:hAnsi="宋体" w:cs="宋体"/>
          <w:color w:val="000000"/>
          <w:sz w:val="22"/>
          <w:szCs w:val="22"/>
        </w:rPr>
      </w:pPr>
      <w:r>
        <w:rPr>
          <w:rFonts w:hint="eastAsia" w:ascii="Arial" w:hAnsi="Arial" w:cs="宋体"/>
          <w:b/>
          <w:bCs/>
          <w:color w:val="000000"/>
          <w:kern w:val="2"/>
        </w:rPr>
        <w:t>1.15“运营培育期”</w:t>
      </w:r>
      <w:r>
        <w:rPr>
          <w:rStyle w:val="12"/>
          <w:rFonts w:hint="eastAsia" w:ascii="宋体" w:hAnsi="宋体" w:cs="宋体"/>
          <w:color w:val="000000"/>
          <w:sz w:val="22"/>
          <w:szCs w:val="22"/>
        </w:rPr>
        <w:t>：指根据甲方发布的公开《招募公告》及乙方提交的《响应文件》，在乙方签订和履行本合同过程中没有重大违约的前提下，在计租期内给予乙方相应的优惠条件的期限。</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outlineLvl w:val="0"/>
        <w:rPr>
          <w:rFonts w:ascii="Arial" w:hAnsi="Arial" w:eastAsia="宋体" w:cs="宋体"/>
          <w:b/>
          <w:bCs/>
          <w:sz w:val="22"/>
          <w:szCs w:val="22"/>
        </w:rPr>
      </w:pPr>
      <w:r>
        <w:rPr>
          <w:rFonts w:hint="eastAsia" w:ascii="Arial" w:hAnsi="Arial" w:eastAsia="宋体" w:cs="宋体"/>
          <w:b/>
          <w:bCs/>
          <w:sz w:val="22"/>
          <w:szCs w:val="22"/>
        </w:rPr>
        <w:t>1.16“交付日”</w:t>
      </w:r>
      <w:r>
        <w:rPr>
          <w:rFonts w:hint="eastAsia" w:ascii="宋体" w:hAnsi="宋体" w:eastAsia="宋体" w:cs="宋体"/>
          <w:bCs/>
          <w:sz w:val="22"/>
          <w:szCs w:val="22"/>
        </w:rPr>
        <w:t>：</w:t>
      </w:r>
      <w:r>
        <w:rPr>
          <w:rFonts w:ascii="宋体" w:hAnsi="宋体" w:eastAsia="宋体" w:cs="宋体"/>
          <w:bCs/>
          <w:sz w:val="22"/>
          <w:szCs w:val="22"/>
        </w:rPr>
        <w:t>是指甲方按照本合同第</w:t>
      </w:r>
      <w:r>
        <w:rPr>
          <w:rFonts w:hint="eastAsia" w:ascii="宋体" w:hAnsi="宋体" w:eastAsia="宋体" w:cs="宋体"/>
          <w:bCs/>
          <w:sz w:val="22"/>
          <w:szCs w:val="22"/>
        </w:rPr>
        <w:t>7.1</w:t>
      </w:r>
      <w:r>
        <w:rPr>
          <w:rFonts w:ascii="宋体" w:hAnsi="宋体" w:eastAsia="宋体" w:cs="宋体"/>
          <w:bCs/>
          <w:sz w:val="22"/>
          <w:szCs w:val="22"/>
        </w:rPr>
        <w:t>条之约定将</w:t>
      </w:r>
      <w:r>
        <w:rPr>
          <w:rFonts w:hint="eastAsia" w:ascii="宋体" w:hAnsi="宋体" w:eastAsia="宋体" w:cs="宋体"/>
          <w:bCs/>
          <w:sz w:val="22"/>
          <w:szCs w:val="22"/>
        </w:rPr>
        <w:t>商铺</w:t>
      </w:r>
      <w:r>
        <w:rPr>
          <w:rFonts w:ascii="宋体" w:hAnsi="宋体" w:eastAsia="宋体" w:cs="宋体"/>
          <w:bCs/>
          <w:sz w:val="22"/>
          <w:szCs w:val="22"/>
        </w:rPr>
        <w:t>交付乙方的日期</w:t>
      </w:r>
      <w:r>
        <w:rPr>
          <w:rFonts w:hint="eastAsia" w:ascii="宋体" w:hAnsi="宋体" w:eastAsia="宋体" w:cs="宋体"/>
          <w:bCs/>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outlineLvl w:val="0"/>
        <w:rPr>
          <w:rStyle w:val="12"/>
          <w:rFonts w:ascii="宋体" w:hAnsi="宋体" w:eastAsia="宋体" w:cs="宋体"/>
          <w:sz w:val="22"/>
          <w:szCs w:val="22"/>
        </w:rPr>
      </w:pPr>
      <w:r>
        <w:rPr>
          <w:rFonts w:hint="eastAsia" w:ascii="Arial" w:hAnsi="Arial" w:eastAsia="宋体" w:cs="宋体"/>
          <w:b/>
          <w:bCs/>
          <w:sz w:val="22"/>
          <w:szCs w:val="22"/>
        </w:rPr>
        <w:t>1.17“开业日”</w:t>
      </w:r>
      <w:r>
        <w:rPr>
          <w:rStyle w:val="12"/>
          <w:rFonts w:hint="eastAsia" w:ascii="宋体" w:hAnsi="宋体" w:eastAsia="宋体" w:cs="宋体"/>
          <w:sz w:val="22"/>
          <w:szCs w:val="22"/>
        </w:rPr>
        <w:t>：除本合同另有约定外，即装修期届满的次日。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outlineLvl w:val="0"/>
        <w:rPr>
          <w:rStyle w:val="12"/>
          <w:rFonts w:ascii="宋体" w:hAnsi="宋体" w:eastAsia="宋体" w:cs="宋体"/>
          <w:sz w:val="22"/>
          <w:szCs w:val="22"/>
        </w:rPr>
      </w:pPr>
      <w:r>
        <w:rPr>
          <w:rFonts w:hint="eastAsia" w:ascii="Arial" w:hAnsi="Arial" w:eastAsia="宋体" w:cs="宋体"/>
          <w:b/>
          <w:bCs/>
          <w:sz w:val="22"/>
          <w:szCs w:val="22"/>
        </w:rPr>
        <w:t>1.18“计租日”</w:t>
      </w:r>
      <w:r>
        <w:rPr>
          <w:rStyle w:val="12"/>
          <w:rFonts w:hint="eastAsia" w:ascii="宋体" w:hAnsi="宋体" w:eastAsia="宋体" w:cs="宋体"/>
          <w:sz w:val="22"/>
          <w:szCs w:val="22"/>
        </w:rPr>
        <w:t>：指本合同约定的开业日，也即租金的起租日。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2、商铺详情及状态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2.1</w:t>
      </w:r>
      <w:r>
        <w:rPr>
          <w:rFonts w:hint="eastAsia" w:ascii="Arial" w:hAnsi="Arial" w:eastAsia="宋体" w:cs="宋体"/>
          <w:sz w:val="22"/>
          <w:szCs w:val="22"/>
        </w:rPr>
        <w:t>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2.2该商铺的规划用途详见【附件三】第四条，租赁期限内未征得甲方书面同意以及按规定经有关部门审批而未核准前，乙方不得擅自改变本合同约定的规划用途。使用用途、营业范围（包含经营业态、店铺名称，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pPr>
        <w:pStyle w:val="4"/>
        <w:keepNext w:val="0"/>
        <w:keepLines w:val="0"/>
        <w:pageBreakBefore w:val="0"/>
        <w:kinsoku/>
        <w:wordWrap/>
        <w:overflowPunct/>
        <w:topLinePunct w:val="0"/>
        <w:autoSpaceDE/>
        <w:autoSpaceDN/>
        <w:bidi w:val="0"/>
        <w:adjustRightInd/>
        <w:snapToGrid/>
        <w:spacing w:line="440" w:lineRule="exact"/>
        <w:ind w:firstLine="440"/>
        <w:textAlignment w:val="auto"/>
        <w:rPr>
          <w:rFonts w:ascii="Arial" w:hAnsi="Arial" w:eastAsia="宋体" w:cs="宋体"/>
          <w:sz w:val="22"/>
          <w:szCs w:val="22"/>
        </w:rPr>
      </w:pPr>
      <w:r>
        <w:rPr>
          <w:rFonts w:ascii="Arial" w:hAnsi="Arial" w:eastAsia="宋体" w:cs="宋体"/>
          <w:sz w:val="22"/>
          <w:szCs w:val="22"/>
        </w:rPr>
        <w:t>2.</w:t>
      </w:r>
      <w:r>
        <w:rPr>
          <w:rFonts w:hint="eastAsia" w:ascii="Arial" w:hAnsi="Arial" w:eastAsia="宋体" w:cs="宋体"/>
          <w:sz w:val="22"/>
          <w:szCs w:val="22"/>
        </w:rPr>
        <w:t>3</w:t>
      </w:r>
      <w:r>
        <w:rPr>
          <w:rFonts w:hint="eastAsia" w:ascii="宋体" w:hAnsi="宋体" w:eastAsia="宋体" w:cs="宋体"/>
          <w:sz w:val="22"/>
          <w:szCs w:val="22"/>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宋体" w:cs="宋体"/>
          <w:sz w:val="22"/>
          <w:szCs w:val="22"/>
        </w:rPr>
        <w:t>。</w:t>
      </w:r>
    </w:p>
    <w:p>
      <w:pPr>
        <w:pStyle w:val="4"/>
        <w:keepNext w:val="0"/>
        <w:keepLines w:val="0"/>
        <w:pageBreakBefore w:val="0"/>
        <w:kinsoku/>
        <w:wordWrap/>
        <w:overflowPunct/>
        <w:topLinePunct w:val="0"/>
        <w:autoSpaceDE/>
        <w:autoSpaceDN/>
        <w:bidi w:val="0"/>
        <w:adjustRightInd/>
        <w:snapToGrid/>
        <w:spacing w:line="440" w:lineRule="exact"/>
        <w:ind w:firstLine="440"/>
        <w:textAlignment w:val="auto"/>
        <w:rPr>
          <w:rFonts w:ascii="Arial" w:hAnsi="Arial" w:eastAsia="宋体" w:cs="宋体"/>
          <w:b/>
          <w:bCs/>
          <w:sz w:val="22"/>
          <w:szCs w:val="22"/>
        </w:rPr>
      </w:pPr>
      <w:r>
        <w:rPr>
          <w:rFonts w:ascii="Arial" w:hAnsi="Arial" w:eastAsia="宋体" w:cs="宋体"/>
          <w:b/>
          <w:bCs/>
          <w:sz w:val="22"/>
          <w:szCs w:val="22"/>
        </w:rPr>
        <w:t>2.</w:t>
      </w:r>
      <w:r>
        <w:rPr>
          <w:rFonts w:hint="eastAsia" w:ascii="Arial" w:hAnsi="Arial" w:eastAsia="宋体" w:cs="宋体"/>
          <w:b/>
          <w:bCs/>
          <w:sz w:val="22"/>
          <w:szCs w:val="22"/>
        </w:rPr>
        <w:t>4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pPr>
        <w:pStyle w:val="4"/>
        <w:keepNext w:val="0"/>
        <w:keepLines w:val="0"/>
        <w:pageBreakBefore w:val="0"/>
        <w:kinsoku/>
        <w:wordWrap/>
        <w:overflowPunct/>
        <w:topLinePunct w:val="0"/>
        <w:autoSpaceDE/>
        <w:autoSpaceDN/>
        <w:bidi w:val="0"/>
        <w:adjustRightInd/>
        <w:snapToGrid/>
        <w:spacing w:line="440" w:lineRule="exact"/>
        <w:ind w:firstLine="440"/>
        <w:textAlignment w:val="auto"/>
        <w:rPr>
          <w:rFonts w:ascii="Arial" w:hAnsi="Arial" w:eastAsia="宋体" w:cs="宋体"/>
          <w:sz w:val="22"/>
          <w:szCs w:val="22"/>
        </w:rPr>
      </w:pPr>
      <w:r>
        <w:rPr>
          <w:rFonts w:hint="eastAsia" w:ascii="Arial" w:hAnsi="Arial" w:eastAsia="宋体" w:cs="宋体"/>
          <w:sz w:val="22"/>
          <w:szCs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0" w:firstLineChars="0"/>
        <w:textAlignment w:val="auto"/>
        <w:rPr>
          <w:rFonts w:ascii="宋体" w:hAnsi="宋体" w:eastAsia="宋体" w:cs="宋体"/>
          <w:b/>
          <w:color w:val="000000"/>
          <w:sz w:val="22"/>
          <w:szCs w:val="22"/>
        </w:rPr>
      </w:pPr>
      <w:r>
        <w:rPr>
          <w:rFonts w:hint="eastAsia" w:ascii="Arial" w:hAnsi="Arial" w:eastAsia="宋体" w:cs="宋体"/>
          <w:b/>
          <w:sz w:val="22"/>
          <w:szCs w:val="22"/>
        </w:rPr>
        <w:t>3、</w:t>
      </w:r>
      <w:r>
        <w:rPr>
          <w:rFonts w:hint="eastAsia" w:ascii="宋体" w:hAnsi="宋体" w:eastAsia="宋体" w:cs="宋体"/>
          <w:b/>
          <w:color w:val="000000"/>
          <w:sz w:val="22"/>
          <w:szCs w:val="22"/>
        </w:rPr>
        <w:t>计租面积</w:t>
      </w:r>
    </w:p>
    <w:p>
      <w:pPr>
        <w:pStyle w:val="14"/>
        <w:keepNext w:val="0"/>
        <w:keepLines w:val="0"/>
        <w:pageBreakBefore w:val="0"/>
        <w:kinsoku/>
        <w:wordWrap/>
        <w:overflowPunct/>
        <w:topLinePunct w:val="0"/>
        <w:autoSpaceDE/>
        <w:autoSpaceDN/>
        <w:bidi w:val="0"/>
        <w:adjustRightInd/>
        <w:snapToGrid/>
        <w:spacing w:line="440" w:lineRule="exact"/>
        <w:ind w:firstLine="440"/>
        <w:textAlignment w:val="auto"/>
        <w:rPr>
          <w:rFonts w:ascii="宋体" w:hAnsi="宋体" w:eastAsia="宋体" w:cs="宋体"/>
          <w:color w:val="000000"/>
          <w:sz w:val="22"/>
          <w:szCs w:val="22"/>
        </w:rPr>
      </w:pPr>
      <w:r>
        <w:rPr>
          <w:rFonts w:ascii="宋体" w:hAnsi="宋体" w:eastAsia="宋体" w:cs="宋体"/>
          <w:color w:val="000000"/>
          <w:sz w:val="22"/>
          <w:szCs w:val="22"/>
        </w:rPr>
        <w:t>3.1商铺计租面积详见【附件三】第一条。</w:t>
      </w:r>
    </w:p>
    <w:p>
      <w:pPr>
        <w:pStyle w:val="14"/>
        <w:keepNext w:val="0"/>
        <w:keepLines w:val="0"/>
        <w:pageBreakBefore w:val="0"/>
        <w:kinsoku/>
        <w:wordWrap/>
        <w:overflowPunct/>
        <w:topLinePunct w:val="0"/>
        <w:autoSpaceDE/>
        <w:autoSpaceDN/>
        <w:bidi w:val="0"/>
        <w:adjustRightInd/>
        <w:snapToGrid/>
        <w:spacing w:line="440" w:lineRule="exact"/>
        <w:ind w:firstLine="440"/>
        <w:textAlignment w:val="auto"/>
        <w:rPr>
          <w:rFonts w:ascii="宋体" w:hAnsi="宋体" w:eastAsia="宋体" w:cs="宋体"/>
          <w:color w:val="000000"/>
          <w:sz w:val="22"/>
          <w:szCs w:val="22"/>
        </w:rPr>
      </w:pPr>
      <w:r>
        <w:rPr>
          <w:rFonts w:ascii="宋体" w:hAnsi="宋体" w:eastAsia="宋体" w:cs="宋体"/>
          <w:color w:val="000000"/>
          <w:sz w:val="22"/>
          <w:szCs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pPr>
        <w:pStyle w:val="14"/>
        <w:keepNext w:val="0"/>
        <w:keepLines w:val="0"/>
        <w:pageBreakBefore w:val="0"/>
        <w:kinsoku/>
        <w:wordWrap/>
        <w:overflowPunct/>
        <w:topLinePunct w:val="0"/>
        <w:autoSpaceDE/>
        <w:autoSpaceDN/>
        <w:bidi w:val="0"/>
        <w:adjustRightInd/>
        <w:snapToGrid/>
        <w:spacing w:line="440" w:lineRule="exact"/>
        <w:ind w:firstLine="440"/>
        <w:textAlignment w:val="auto"/>
        <w:rPr>
          <w:rFonts w:ascii="宋体" w:hAnsi="宋体" w:eastAsia="宋体" w:cs="宋体"/>
          <w:color w:val="000000"/>
          <w:sz w:val="22"/>
          <w:szCs w:val="22"/>
        </w:rPr>
      </w:pPr>
      <w:r>
        <w:rPr>
          <w:rFonts w:ascii="宋体" w:hAnsi="宋体" w:eastAsia="宋体" w:cs="宋体"/>
          <w:color w:val="000000"/>
          <w:sz w:val="22"/>
          <w:szCs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4、租赁期限</w:t>
      </w:r>
    </w:p>
    <w:p>
      <w:pPr>
        <w:pStyle w:val="14"/>
        <w:keepNext w:val="0"/>
        <w:keepLines w:val="0"/>
        <w:pageBreakBefore w:val="0"/>
        <w:numPr>
          <w:ilvl w:val="255"/>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4.1租赁期限</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4.1.1租赁期限见本合同【附件三】第三条。租赁期限自交付日开始起算，商铺的租赁期限将由“装修期”、“运营培育期”及“计租期”组成。如交付日按本合同约定调整的，租赁期限的起止日亦相应调整。除本合同另有约定外，本合同项下的“月”、“月度”、“每月”等均指自然月。</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4.1.2装修期见本合同【附件三】第三条。</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4.1.3计租期见本合同【附件三】第三条。</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4.1.4运营培育期见本合同【附件三】第三条。</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firstLineChars="0"/>
        <w:textAlignment w:val="auto"/>
        <w:rPr>
          <w:rFonts w:ascii="宋体" w:hAnsi="宋体" w:eastAsia="宋体" w:cs="宋体"/>
          <w:color w:val="000000"/>
          <w:sz w:val="22"/>
          <w:szCs w:val="22"/>
        </w:rPr>
      </w:pPr>
      <w:r>
        <w:rPr>
          <w:rFonts w:hint="eastAsia" w:ascii="宋体" w:hAnsi="宋体" w:eastAsia="宋体" w:cs="宋体"/>
          <w:color w:val="000000"/>
          <w:sz w:val="22"/>
          <w:szCs w:val="22"/>
        </w:rPr>
        <w:t>4.2关于运营培育期优惠权</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4.2.1 运营培育期优惠权给予方式</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但双方将按照【附件三】第五条的约定，对乙方享有的运营培育期权益，在分摊期间进行平均分摊并实现，乙方需在分摊期间内，按照权益平均分摊后的租金标准向甲方支付固定租金。</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4.2.2 运营培育期优惠权丧失的特别约定</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sz w:val="22"/>
          <w:szCs w:val="22"/>
        </w:rPr>
        <w:t>双方</w:t>
      </w:r>
      <w:r>
        <w:rPr>
          <w:rFonts w:ascii="宋体" w:hAnsi="宋体" w:eastAsia="宋体" w:cs="宋体"/>
          <w:sz w:val="22"/>
          <w:szCs w:val="22"/>
        </w:rPr>
        <w:t>确认，甲方提供的</w:t>
      </w:r>
      <w:r>
        <w:rPr>
          <w:rFonts w:hint="eastAsia" w:ascii="宋体" w:hAnsi="宋体" w:eastAsia="宋体" w:cs="宋体"/>
          <w:sz w:val="22"/>
          <w:szCs w:val="22"/>
        </w:rPr>
        <w:t>运营培育期</w:t>
      </w:r>
      <w:r>
        <w:rPr>
          <w:rFonts w:ascii="宋体" w:hAnsi="宋体" w:eastAsia="宋体" w:cs="宋体"/>
          <w:sz w:val="22"/>
          <w:szCs w:val="22"/>
        </w:rPr>
        <w:t>是基于乙方在签订和履行本合同过程中没有重大违约的前提下给予乙方的优惠</w:t>
      </w:r>
      <w:r>
        <w:rPr>
          <w:rFonts w:hint="eastAsia" w:ascii="宋体" w:hAnsi="宋体" w:eastAsia="宋体" w:cs="宋体"/>
          <w:sz w:val="22"/>
          <w:szCs w:val="22"/>
        </w:rPr>
        <w:t>。</w:t>
      </w:r>
      <w:r>
        <w:rPr>
          <w:rFonts w:hint="eastAsia" w:ascii="宋体" w:hAnsi="宋体" w:eastAsia="宋体" w:cs="宋体"/>
          <w:color w:val="000000"/>
          <w:sz w:val="22"/>
          <w:szCs w:val="22"/>
        </w:rPr>
        <w:t>如因乙方违约导致合同解除的，则乙方丧失本合同约定的所有运营培育期优惠。该种情形下，乙方应当在甲方发出书面通知后的【10】日内，按照以下标准补偿运营培育期的租金（“S”）。具体计算公式为： S=（M×N）×（X÷Y）</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以上“M”是指本合同约定的运营培育期总月数；“N”是指</w:t>
      </w:r>
      <w:r>
        <w:rPr>
          <w:rFonts w:hint="eastAsia" w:ascii="Arial" w:hAnsi="Arial" w:eastAsia="宋体" w:cs="宋体"/>
          <w:sz w:val="22"/>
          <w:szCs w:val="22"/>
        </w:rPr>
        <w:t>【附件三】第五条约定的计租期内首月月固定租金金额（分摊前）</w:t>
      </w:r>
      <w:r>
        <w:rPr>
          <w:rFonts w:hint="eastAsia" w:ascii="宋体" w:hAnsi="宋体" w:eastAsia="宋体" w:cs="宋体"/>
          <w:color w:val="000000"/>
          <w:sz w:val="22"/>
          <w:szCs w:val="22"/>
        </w:rPr>
        <w:t>。“X”是指合同终止时尚未履行的计租期剩余月数（不足一月的按一月计算）；“Y”是指为约定计租期的总月数。</w:t>
      </w:r>
    </w:p>
    <w:p>
      <w:pPr>
        <w:pStyle w:val="14"/>
        <w:keepNext w:val="0"/>
        <w:keepLines w:val="0"/>
        <w:pageBreakBefore w:val="0"/>
        <w:numPr>
          <w:ilvl w:val="255"/>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4.3续租</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5、租金、其他费用及支付方式</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5.1租金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在本合同项下，甲方租金计收方式为：“固定租金”与“提成租金”两者取其高，具体如下：</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5.1.1固定租金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固定租金按“先付后用”的原则支付。首期固定租金，乙方应在合同约定的交付日前1日内缴纳；除首期固定租金外，乙方应在每一支付周期固定租金起算前15日预付给甲方下个支付周期对应的固定租金。如最后一次固定租金对应期间不满一个完整支付周期的，则其中完整自然月的部分按月固定租金金额收取、不满一个完整自然月的部分按实际天数计收。固定租金标准及支付周期详见【附件三】第五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1.2提成租金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5.1.2.1计租期内，提成租金应按照当期营业额全额计提核算，核算后四舍五入以元为单位。乙方应在每一支付周期结束后的10个工作日内向甲方提供能够清楚展示营业额准确数据的报表，并将乙方自行核算的提成租金超过固定租金的差额部分于本期届满后15日内支付给甲方。提成租金计提比例及结算、支付周期详见【附件三】第五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5.1.2.2乙方应在合同签订后【30】日内，开设一个专门的银行账户，作为本合同营业额收入专门账户，对营业额进行管理，并确保该账户不与公司其他资金混同。账户开立后5个工作日内，应当将该账户基本信息报甲方备案。乙方应当保证，本合同下，商铺上发生的所有的营业额收入，均应纳入该专门的银行账户管理，否则视为乙方违约。其他乙方收取的不属于营业额收入的由乙方自行安排账户进行管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5.1.2.3本合同下，乙方向甲方提供显示营业额准确数据的报表时，应当同步提供银行出具的专门账户下的银行账户流水以供甲方核查。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5.1.2.4每季度或年度结算时，甲方可聘请外部专业机构对乙方营业额的完整性和真实性进行一次收入专项审计。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5.1.2.5经甲方核查，营业额数据有</w:t>
      </w:r>
      <w:r>
        <w:rPr>
          <w:rFonts w:hint="eastAsia" w:ascii="Arial" w:hAnsi="Arial" w:eastAsia="宋体" w:cs="宋体"/>
          <w:sz w:val="22"/>
          <w:szCs w:val="22"/>
          <w:highlight w:val="none"/>
          <w:lang w:val="en-US" w:eastAsia="zh-CN"/>
        </w:rPr>
        <w:t>造假、</w:t>
      </w:r>
      <w:r>
        <w:rPr>
          <w:rFonts w:hint="eastAsia" w:ascii="Arial" w:hAnsi="Arial" w:eastAsia="宋体" w:cs="宋体"/>
          <w:sz w:val="22"/>
          <w:szCs w:val="22"/>
          <w:highlight w:val="none"/>
        </w:rPr>
        <w:t>缺漏的部分，乙方应在接到通知后3个工作日内补足提成租金</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并按照缺漏金额的十倍</w:t>
      </w:r>
      <w:r>
        <w:rPr>
          <w:rFonts w:hint="eastAsia" w:ascii="Arial" w:hAnsi="Arial" w:eastAsia="宋体" w:cs="宋体"/>
          <w:sz w:val="22"/>
          <w:szCs w:val="22"/>
          <w:highlight w:val="none"/>
        </w:rPr>
        <w:t>标准向甲方支付违约金</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bCs/>
          <w:sz w:val="22"/>
          <w:szCs w:val="22"/>
        </w:rPr>
      </w:pPr>
      <w:r>
        <w:rPr>
          <w:rFonts w:hint="eastAsia" w:ascii="Arial" w:hAnsi="Arial" w:eastAsia="宋体" w:cs="宋体"/>
          <w:bCs/>
          <w:sz w:val="22"/>
          <w:szCs w:val="22"/>
        </w:rPr>
        <w:t>5</w:t>
      </w:r>
      <w:r>
        <w:rPr>
          <w:rFonts w:ascii="Arial" w:hAnsi="Arial" w:eastAsia="宋体" w:cs="宋体"/>
          <w:bCs/>
          <w:sz w:val="22"/>
          <w:szCs w:val="22"/>
        </w:rPr>
        <w:t>.</w:t>
      </w:r>
      <w:r>
        <w:rPr>
          <w:rFonts w:hint="eastAsia" w:ascii="Arial" w:hAnsi="Arial" w:eastAsia="宋体" w:cs="宋体"/>
          <w:bCs/>
          <w:sz w:val="22"/>
          <w:szCs w:val="22"/>
        </w:rPr>
        <w:t>2综合管理费</w:t>
      </w:r>
    </w:p>
    <w:p>
      <w:pPr>
        <w:keepNext w:val="0"/>
        <w:keepLines w:val="0"/>
        <w:pageBreakBefore w:val="0"/>
        <w:numPr>
          <w:ilvl w:val="255"/>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5.2.1甲方与乙方签订《商业物业综合管理服务协议》，综合管理费的收费标准、支付方式等以双方签订的《商业物业综合管理服务协议》为准。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bCs/>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3</w:t>
      </w:r>
      <w:r>
        <w:rPr>
          <w:rFonts w:hint="eastAsia" w:ascii="Arial" w:hAnsi="Arial" w:eastAsia="宋体" w:cs="宋体"/>
          <w:bCs/>
          <w:sz w:val="22"/>
          <w:szCs w:val="22"/>
        </w:rPr>
        <w:t>其他费用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4本合同项下，乙方应向甲方支付的固定租金、提成租金（以下统称为“租金”），应由乙方通过银行转账的方式向甲方指定账户支付，甲方指定账户为：</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银行账号：431020100101554670</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 xml:space="preserve">开户行：兴业银行股份有限公司成都分行                             </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除固定租金、提成租金外，乙方应向甲方支付的履约保证金、综合管理费、能耗费用、垃圾清运费等其他所有费用，应由乙方通过银行转账的方式向甲方指定账户支付，甲方指定账户为：</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银行账号：431020100101535619</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开户行：兴业银行股份有限公司成都分行营业部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5.5甲方将在收讫每期费用之后，应在接到乙方的开票通知之后的七个工作日内向乙方开具与已付款金额相应的增值税发票。乙方开票信息详见【附件三】第七条。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6本合同项下固定租金、提成租金、综合管理费、能耗费用、垃圾清运费等所有费用均为含增值税金额，税率按国家相关标准执行。如因国家相关法律、法规、政策调整，使固定租金、提成租金、综合管理费以及其他费用所适用的增值税税率提高的，增加部分的税金由乙方向甲方另行支付。</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7</w:t>
      </w:r>
      <w:r>
        <w:rPr>
          <w:rFonts w:ascii="Arial" w:hAnsi="Arial" w:eastAsia="宋体" w:cs="宋体"/>
          <w:sz w:val="22"/>
          <w:szCs w:val="22"/>
        </w:rPr>
        <w:t>乙方</w:t>
      </w:r>
      <w:r>
        <w:rPr>
          <w:rFonts w:hint="eastAsia" w:ascii="Arial" w:hAnsi="Arial" w:eastAsia="宋体" w:cs="宋体"/>
          <w:sz w:val="22"/>
          <w:szCs w:val="22"/>
        </w:rPr>
        <w:t>逾期支付或补缴按本合同及相关协议、规定等应交纳的任何费用，包括但不限于租金、综合管理费、能耗费用、垃圾清运费、装修管理费、装修押金、履约保证金等，每逾期一日，乙方应按照应付而未付款额的万分之五承担违约金直至付清；若逾期支付或补缴任一期的费用超过30日，则违约金标准</w:t>
      </w:r>
      <w:r>
        <w:rPr>
          <w:rFonts w:hint="eastAsia" w:ascii="宋体" w:hAnsi="宋体" w:eastAsia="宋体" w:cs="宋体"/>
          <w:sz w:val="22"/>
          <w:szCs w:val="22"/>
        </w:rPr>
        <w:t>自逾期第31日起</w:t>
      </w:r>
      <w:r>
        <w:rPr>
          <w:rFonts w:hint="eastAsia" w:ascii="Arial" w:hAnsi="Arial" w:eastAsia="宋体" w:cs="宋体"/>
          <w:sz w:val="22"/>
          <w:szCs w:val="22"/>
        </w:rPr>
        <w:t>提高到千分之一每日，且甲方有权提前解除本合同并追究乙方违约责任。此外，甲方因向乙方催付费用而引起的所有费用和开支（包括但不限于诉讼费、仲裁费、律师费等）全部由乙方承担。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5.8如乙方欠付固定租金、提成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6、履约保证金及其支付</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.1</w:t>
      </w:r>
      <w:r>
        <w:rPr>
          <w:rFonts w:hint="eastAsia" w:ascii="Arial" w:hAnsi="Arial" w:eastAsia="宋体" w:cs="宋体"/>
          <w:sz w:val="22"/>
          <w:szCs w:val="22"/>
        </w:rPr>
        <w:t>履约保证金金额详见【附件三】第六条，乙方应当在合同约定的交付日前1日内向甲方缴纳全部履约保证金。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.2</w:t>
      </w:r>
      <w:r>
        <w:rPr>
          <w:rFonts w:hint="eastAsia" w:ascii="Arial" w:hAnsi="Arial" w:eastAsia="宋体" w:cs="宋体"/>
          <w:sz w:val="22"/>
          <w:szCs w:val="22"/>
        </w:rPr>
        <w:t>上述履约保证金系乙方为保证履行本合同约定之各项义务和责任而交付甲方，履约保证金不是预付的租金，仅作为乙方忠实履行所约定义务的保证。乙方逾期支付本合同项下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 xml:space="preserve">6.3 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6.4乙方逾期支付或补缴履约保证金的，每逾期一日，乙方按照欠缴履约保证金金额万分之五的标准承担违约金，若逾期支付或补缴超过30日，则违约金标准自逾期第31日起提高到千分之一每日。履约保证金全额支付或补足之前，甲方有权拒绝履行本合同项下任何承诺，逾期超过30日，甲方有权直接解除合同并另行出租、使用该商铺，乙方应承担第14.3款约定的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6.5本合同存续期间，乙方不得以任何理由要求甲方从其缴纳的履约保证金或合同约定的其他保证金、押金（如有）中抵扣其必须向甲方交纳的租金和其它款项。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w:t>
      </w:r>
      <w:r>
        <w:rPr>
          <w:rFonts w:hint="eastAsia" w:ascii="Arial" w:hAnsi="Arial" w:eastAsia="宋体" w:cs="宋体"/>
          <w:sz w:val="22"/>
          <w:szCs w:val="22"/>
        </w:rPr>
        <w:t>6除双方另有约定外，待本合同终止且满足下列全部条件后30个工作日内，甲方将向乙方无息退还乙方实际已经支付的履约保证金的余额：</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440" w:firstLine="0" w:firstLineChars="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.6.1</w:t>
      </w:r>
      <w:r>
        <w:rPr>
          <w:rFonts w:hint="eastAsia" w:ascii="Arial" w:hAnsi="Arial" w:eastAsia="宋体" w:cs="宋体"/>
          <w:sz w:val="22"/>
          <w:szCs w:val="22"/>
        </w:rPr>
        <w:t>乙方按本合同第十三条约定的标准将商铺交还甲方；</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.6.2</w:t>
      </w:r>
      <w:r>
        <w:rPr>
          <w:rFonts w:hint="eastAsia" w:ascii="Arial" w:hAnsi="Arial" w:eastAsia="宋体" w:cs="宋体"/>
          <w:sz w:val="22"/>
          <w:szCs w:val="22"/>
        </w:rPr>
        <w:t>乙方已经结清了搬离日（含当日）之前租金、综合管理费、能耗费用等全部费用，付清了本合同终止前已经产生的各项违约金及赔偿金；</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.6.3</w:t>
      </w:r>
      <w:r>
        <w:rPr>
          <w:rFonts w:hint="eastAsia" w:ascii="Arial" w:hAnsi="Arial" w:eastAsia="宋体" w:cs="宋体"/>
          <w:sz w:val="22"/>
          <w:szCs w:val="22"/>
        </w:rPr>
        <w:t>完成变更或注销以该商铺为注册地址的营业执照及其他全部证照；</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.6.4</w:t>
      </w:r>
      <w:r>
        <w:rPr>
          <w:rFonts w:hint="eastAsia" w:ascii="Arial" w:hAnsi="Arial" w:eastAsia="宋体" w:cs="宋体"/>
          <w:sz w:val="22"/>
          <w:szCs w:val="22"/>
        </w:rPr>
        <w:t>乙方已退还甲方开具的履约保证金收据的原件（如有）；</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.6.5</w:t>
      </w:r>
      <w:r>
        <w:rPr>
          <w:rFonts w:hint="eastAsia" w:ascii="Arial" w:hAnsi="Arial" w:eastAsia="宋体" w:cs="宋体"/>
          <w:sz w:val="22"/>
          <w:szCs w:val="22"/>
        </w:rPr>
        <w:t>商铺交还其他手续已经办理完毕；</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.6.6</w:t>
      </w:r>
      <w:r>
        <w:rPr>
          <w:rFonts w:hint="eastAsia" w:ascii="Arial" w:hAnsi="Arial" w:eastAsia="宋体" w:cs="宋体"/>
          <w:sz w:val="22"/>
          <w:szCs w:val="22"/>
        </w:rPr>
        <w:t>乙方就其于本合同项下应履行的其他义务全部履行完毕。</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7、商铺的交付</w:t>
      </w:r>
    </w:p>
    <w:p>
      <w:pPr>
        <w:pStyle w:val="14"/>
        <w:keepNext w:val="0"/>
        <w:keepLines w:val="0"/>
        <w:pageBreakBefore w:val="0"/>
        <w:numPr>
          <w:ilvl w:val="255"/>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7.1交付日</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7.1.1交付日详见【附件三】第2.1条。商铺计划于交付日达到本合同约定的交付标准。甲方将根据约定交付日向乙方交付商铺。</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7.1.2商铺的交付标准详见附件【五】。</w:t>
      </w:r>
    </w:p>
    <w:p>
      <w:pPr>
        <w:pStyle w:val="14"/>
        <w:keepNext w:val="0"/>
        <w:keepLines w:val="0"/>
        <w:pageBreakBefore w:val="0"/>
        <w:numPr>
          <w:ilvl w:val="255"/>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7.2交付日的迟延</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如商铺需要延迟交付的，则甲方应当在交付日前向乙方发出通知并另说明交付商铺的预计时间。</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2"/>
        <w:textAlignment w:val="auto"/>
        <w:rPr>
          <w:rFonts w:ascii="宋体" w:hAnsi="宋体" w:eastAsia="宋体" w:cs="宋体"/>
          <w:b/>
          <w:bCs/>
          <w:color w:val="000000"/>
          <w:sz w:val="22"/>
          <w:szCs w:val="22"/>
        </w:rPr>
      </w:pPr>
      <w:r>
        <w:rPr>
          <w:rFonts w:hint="eastAsia" w:ascii="宋体" w:hAnsi="宋体" w:eastAsia="宋体" w:cs="宋体"/>
          <w:b/>
          <w:bCs/>
          <w:color w:val="000000"/>
          <w:sz w:val="22"/>
          <w:szCs w:val="22"/>
        </w:rPr>
        <w:t>就本款所述的延迟交付，如未超过120日以内，属于双方均可接受的合理调整，甲方免责。但如因本款所述原因导致商铺延迟交付超过120日的，双方均有权解除本合同，甲方无息退还乙方已经实际支付到账的租金、履约保证金</w:t>
      </w:r>
      <w:r>
        <w:rPr>
          <w:rFonts w:hint="eastAsia" w:ascii="Arial" w:hAnsi="Arial" w:eastAsia="宋体" w:cs="宋体"/>
          <w:b/>
          <w:bCs/>
          <w:color w:val="000000"/>
          <w:sz w:val="22"/>
          <w:szCs w:val="22"/>
        </w:rPr>
        <w:t>等费用</w:t>
      </w:r>
      <w:r>
        <w:rPr>
          <w:rFonts w:hint="eastAsia" w:ascii="宋体" w:hAnsi="宋体" w:eastAsia="宋体" w:cs="宋体"/>
          <w:b/>
          <w:bCs/>
          <w:color w:val="000000"/>
          <w:sz w:val="22"/>
          <w:szCs w:val="22"/>
        </w:rPr>
        <w:t>，双方互不承担违约或赔偿的责任。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宋体" w:hAnsi="宋体" w:eastAsia="宋体" w:cs="宋体"/>
          <w:sz w:val="22"/>
          <w:szCs w:val="22"/>
        </w:rPr>
      </w:pPr>
      <w:r>
        <w:rPr>
          <w:rFonts w:hint="eastAsia" w:ascii="宋体" w:hAnsi="宋体" w:eastAsia="宋体" w:cs="宋体"/>
          <w:sz w:val="22"/>
          <w:szCs w:val="22"/>
        </w:rPr>
        <w:t>7.3交付手续</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7.3.1除非甲乙双方另有约定，合同7.1条载明的交付日即为交付商铺的日期，除非发生7</w:t>
      </w:r>
      <w:r>
        <w:rPr>
          <w:rFonts w:ascii="Arial" w:hAnsi="Arial" w:eastAsia="宋体" w:cs="宋体"/>
          <w:sz w:val="22"/>
          <w:szCs w:val="22"/>
        </w:rPr>
        <w:t>.</w:t>
      </w:r>
      <w:r>
        <w:rPr>
          <w:rFonts w:hint="eastAsia" w:ascii="Arial" w:hAnsi="Arial" w:eastAsia="宋体" w:cs="宋体"/>
          <w:sz w:val="22"/>
          <w:szCs w:val="22"/>
        </w:rPr>
        <w:t>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除此之外，每逾期收房一日，甲方有权要求乙方按照【附件三】第五条约定的计租期内首月月固定租金标准（分摊前）的3‰向甲方支付违约金。逾期收房超过30日的，将视为乙方根本违约，甲方有权解除合同并根据合同约定追究乙方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7.4如商铺实际交付时间因非甲方的过错推迟（如乙方逾期收房等），则装修期实际享有的天数相应减少，原定计租期起算日不会推迟，而甲方无须给予顺延装修期或其他任何形式的补偿。</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firstLineChars="0"/>
        <w:textAlignment w:val="auto"/>
        <w:rPr>
          <w:rFonts w:ascii="宋体" w:hAnsi="宋体" w:eastAsia="宋体" w:cs="宋体"/>
          <w:color w:val="000000"/>
          <w:sz w:val="22"/>
          <w:szCs w:val="22"/>
        </w:rPr>
      </w:pPr>
      <w:r>
        <w:rPr>
          <w:rFonts w:hint="eastAsia" w:ascii="Arial" w:hAnsi="Arial" w:eastAsia="宋体" w:cs="宋体"/>
          <w:color w:val="000000"/>
          <w:sz w:val="22"/>
          <w:szCs w:val="22"/>
        </w:rPr>
        <w:t>7.5在商铺具备了法定可使用条件的情况下，如果乙方需要提前进场装修，乙方承诺：1）自装修进场之日视为商铺已经交付，租赁期限开始起算（甲方仍需继续提供符合合同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约定交付标准的商铺并承担整改责任），双方应在装修进场当日签署《商铺交付确认书》；2）装修期计算自进场装修之日起算；3）除甲方仍需继续提供符合合同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8、商铺的装修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8.1</w:t>
      </w:r>
      <w:r>
        <w:rPr>
          <w:rFonts w:hint="eastAsia" w:ascii="宋体" w:hAnsi="宋体" w:eastAsia="宋体" w:cs="宋体"/>
          <w:sz w:val="22"/>
          <w:szCs w:val="22"/>
        </w:rPr>
        <w:t>装修期详见【附件三】第3.2条。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8.6.1</w:t>
      </w:r>
      <w:r>
        <w:rPr>
          <w:rFonts w:hint="eastAsia" w:ascii="Arial" w:hAnsi="Arial" w:eastAsia="宋体" w:cs="宋体"/>
          <w:sz w:val="22"/>
          <w:szCs w:val="22"/>
        </w:rPr>
        <w:t>破坏房屋结构、外墙与屋面防水</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8.6.2</w:t>
      </w:r>
      <w:r>
        <w:rPr>
          <w:rFonts w:hint="eastAsia" w:ascii="Arial" w:hAnsi="Arial" w:eastAsia="宋体" w:cs="宋体"/>
          <w:sz w:val="22"/>
          <w:szCs w:val="22"/>
        </w:rPr>
        <w:t>装修期间使用空调</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8.6.3</w:t>
      </w:r>
      <w:r>
        <w:rPr>
          <w:rFonts w:hint="eastAsia" w:ascii="Arial" w:hAnsi="Arial" w:eastAsia="宋体" w:cs="宋体"/>
          <w:sz w:val="22"/>
          <w:szCs w:val="22"/>
        </w:rPr>
        <w:t>未经甲方书面同意擅自拆改、破坏商铺的消防设施设备、烟感、喷淋等设施设备或各种管道系统；</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8.6.4</w:t>
      </w:r>
      <w:r>
        <w:rPr>
          <w:rFonts w:hint="eastAsia" w:ascii="Arial" w:hAnsi="Arial" w:eastAsia="宋体" w:cs="宋体"/>
          <w:sz w:val="22"/>
          <w:szCs w:val="22"/>
        </w:rPr>
        <w:t>使用有毒有害的不合格装修装饰材料或设备；</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8.6.5</w:t>
      </w:r>
      <w:r>
        <w:rPr>
          <w:rFonts w:hint="eastAsia" w:ascii="Arial" w:hAnsi="Arial" w:eastAsia="宋体" w:cs="宋体"/>
          <w:sz w:val="22"/>
          <w:szCs w:val="22"/>
        </w:rPr>
        <w:t>未经甲方书面同意，对商铺的外立面、室外场地和其他公共区域、公共设施进行装修或改动；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8.6.6</w:t>
      </w:r>
      <w:r>
        <w:rPr>
          <w:rFonts w:hint="eastAsia" w:ascii="Arial" w:hAnsi="Arial" w:eastAsia="宋体" w:cs="宋体"/>
          <w:sz w:val="22"/>
          <w:szCs w:val="22"/>
        </w:rPr>
        <w:t>故意侵犯相邻各方的合法权利；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8.6.7</w:t>
      </w:r>
      <w:r>
        <w:rPr>
          <w:rFonts w:hint="eastAsia" w:ascii="Arial" w:hAnsi="Arial" w:eastAsia="宋体" w:cs="宋体"/>
          <w:sz w:val="22"/>
          <w:szCs w:val="22"/>
        </w:rPr>
        <w:t>未经甲方书面同意，在营业时间内进场装修；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8.6.8</w:t>
      </w:r>
      <w:r>
        <w:rPr>
          <w:rFonts w:hint="eastAsia" w:ascii="Arial" w:hAnsi="Arial" w:eastAsia="宋体" w:cs="宋体"/>
          <w:sz w:val="22"/>
          <w:szCs w:val="22"/>
        </w:rPr>
        <w:t>未提交装修设计方案和装修进度计划至甲方审核即进行装修的，或未按照甲方审批通过的装修设计方案、装修进度计划进行装修的。</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8.7如乙方在进行室内的装修时需要根据商铺的实际使用情况调整烟感、喷淋等设施设备位置的，除取得甲方书面批准手续外，还必须取得消防部门的审批，并不得妨害商铺整体的消防系统联动。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8.8若因仅可归咎于甲方的过错，导致乙方于装修期内未能完成装修的，乙方的装修期应相应的予以延长。除本合同另有特别明确约定或各方达成书面一致外，装修期不因任何原因而延长。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8.9装修期间，因乙方或装修施工单位的过错导致甲方或第三方造成损失及其他后果的，由乙方承担全部责任。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0" w:firstLineChars="0"/>
        <w:textAlignment w:val="auto"/>
        <w:rPr>
          <w:rFonts w:ascii="Arial" w:hAnsi="Arial" w:eastAsia="宋体" w:cs="Arial"/>
          <w:sz w:val="22"/>
          <w:szCs w:val="22"/>
        </w:rPr>
      </w:pPr>
      <w:r>
        <w:rPr>
          <w:rFonts w:hint="eastAsia" w:ascii="Arial" w:hAnsi="Arial" w:eastAsia="宋体" w:cs="宋体"/>
          <w:b/>
          <w:sz w:val="22"/>
          <w:szCs w:val="22"/>
        </w:rPr>
        <w:t>9、开业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9.1乙方应在本合同约定的开业日开业，乙方开业即为在营业时间持续正常对外营业。开业日详见【附件三】第2.2条，乙方应自开业日起向甲方缴纳租金，开业日即为计租日。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乙方应于约定的开业日开业，否则每逾期一天，除乙方应正常支付租金外，甲方还有权要求乙方</w:t>
      </w:r>
      <w:r>
        <w:rPr>
          <w:rFonts w:hint="eastAsia" w:ascii="Arial" w:hAnsi="Arial" w:eastAsia="宋体" w:cs="宋体"/>
          <w:sz w:val="22"/>
          <w:szCs w:val="22"/>
        </w:rPr>
        <w:t>按照【附件三】第五条约定的计租期内首月月固定租金标准（分摊前）的3‰</w:t>
      </w:r>
      <w:r>
        <w:rPr>
          <w:rFonts w:hint="eastAsia" w:ascii="Arial" w:hAnsi="Arial" w:eastAsia="宋体" w:cs="Arial"/>
          <w:sz w:val="22"/>
          <w:szCs w:val="22"/>
        </w:rPr>
        <w:t>向甲方累计支付违约金直至乙方按本合同约定条件开业。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租金、综合管理费及其他相关费用；如甲方因此遭受任何处罚和/或追索的，均由乙方承担全部赔偿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0</w:t>
      </w:r>
      <w:r>
        <w:rPr>
          <w:rFonts w:hint="eastAsia" w:ascii="Arial" w:hAnsi="Arial" w:eastAsia="宋体" w:cs="宋体"/>
          <w:b/>
          <w:sz w:val="22"/>
          <w:szCs w:val="22"/>
        </w:rPr>
        <w:t>、商铺的维修与保养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w:t>
      </w:r>
      <w:r>
        <w:rPr>
          <w:rFonts w:ascii="Arial" w:hAnsi="Arial" w:eastAsia="宋体" w:cs="宋体"/>
          <w:sz w:val="22"/>
          <w:szCs w:val="22"/>
        </w:rPr>
        <w:t>.1</w:t>
      </w:r>
      <w:r>
        <w:rPr>
          <w:rFonts w:hint="eastAsia" w:ascii="Arial" w:hAnsi="Arial" w:eastAsia="宋体" w:cs="宋体"/>
          <w:sz w:val="22"/>
          <w:szCs w:val="22"/>
        </w:rPr>
        <w:t>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10.3.1该商铺内任何电器装置、电器用品、电线以及燃气、空调、电梯等设施设备故障、失修、危险（除甲方过错导致外）而导致甲方或任何第三方任何物品的损害；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10.3.2因乙方原因而导致该商铺水管通道、厕所、器具，堵塞、损坏或停止运作而造成甲方或任何其他人任何物品的损失；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10.3.3因乙方原因而导致火、烟雾在该商铺内扩散或任何来源的水（包括风暴或雨水）在该商铺或其任何部分泄漏或满泄而造成甲方或任何其他人任何物品的损害。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10.5乙方应遵守甲方制订的关于该商铺的日常使用及修缮的其他相关规定。</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1</w:t>
      </w:r>
      <w:r>
        <w:rPr>
          <w:rFonts w:hint="eastAsia" w:ascii="Arial" w:hAnsi="Arial" w:eastAsia="宋体" w:cs="宋体"/>
          <w:b/>
          <w:sz w:val="22"/>
          <w:szCs w:val="22"/>
        </w:rPr>
        <w:t>、商铺的使用及乙方责任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乙方</w:t>
      </w:r>
      <w:r>
        <w:rPr>
          <w:rFonts w:hint="eastAsia" w:ascii="宋体" w:hAnsi="宋体" w:eastAsia="宋体" w:cs="宋体"/>
          <w:sz w:val="22"/>
          <w:szCs w:val="22"/>
        </w:rPr>
        <w:t>应当保证租赁期限内遵守甲方的业态要求，若</w:t>
      </w:r>
      <w:r>
        <w:rPr>
          <w:rFonts w:hint="eastAsia" w:ascii="Arial" w:hAnsi="Arial" w:eastAsia="宋体" w:cs="宋体"/>
          <w:sz w:val="22"/>
          <w:szCs w:val="22"/>
        </w:rPr>
        <w:t>需要调整营业范围、规划用途、使用用途的，都需要至少提前15个工作日报甲方征得其同意；乙方违反本款约定的，甲方有权解除本合同，且乙方应按照第14.3款约定承担责任。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2</w:t>
      </w:r>
      <w:r>
        <w:rPr>
          <w:rFonts w:hint="eastAsia" w:ascii="Arial" w:hAnsi="Arial" w:eastAsia="宋体" w:cs="宋体"/>
          <w:sz w:val="22"/>
          <w:szCs w:val="22"/>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3</w:t>
      </w:r>
      <w:r>
        <w:rPr>
          <w:rFonts w:hint="eastAsia" w:ascii="Arial" w:hAnsi="Arial" w:eastAsia="宋体" w:cs="宋体"/>
          <w:sz w:val="22"/>
          <w:szCs w:val="22"/>
        </w:rPr>
        <w:t>乙方保证商铺内设施、设备的安全、合理摆放。定期检查并清理相关设施、设备，确保管道畅通无阻、窗明几净、卫生整洁，保障良好清洁的环境。</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4</w:t>
      </w:r>
      <w:r>
        <w:rPr>
          <w:rFonts w:hint="eastAsia" w:ascii="Arial" w:hAnsi="Arial" w:eastAsia="宋体" w:cs="宋体"/>
          <w:sz w:val="22"/>
          <w:szCs w:val="22"/>
        </w:rPr>
        <w:t>乙方必须依法以符合通常商业惯例的方式从事经营活动，遵守国家的法律法规规定和政府管理要求，诚信守法经营，不得做出对甲方或“天府国际动漫城”的商誉及名声有不良影响或可能具有不良影响的行为(比如出现有关乙方及乙方品牌的大面积负面社会舆论、网民自发抵制乙方品牌、政府主管部门处罚等事件)，也不得有违反社会主义核心价值观等主流意识形态的行为。乙方从事非法经营或因不诚信经营等导致群体性受害人进入建筑楼栋主张权益的，均视为乙方根本性违约。甲方有权对乙方采取要求进行限期停业整改、解除合同、强制清退等措施，如甲方选择解除合同的，甲方有权按第</w:t>
      </w:r>
      <w:r>
        <w:rPr>
          <w:rFonts w:ascii="Arial" w:hAnsi="Arial" w:eastAsia="宋体" w:cs="宋体"/>
          <w:sz w:val="22"/>
          <w:szCs w:val="22"/>
        </w:rPr>
        <w:t>14</w:t>
      </w:r>
      <w:r>
        <w:rPr>
          <w:rFonts w:hint="eastAsia" w:ascii="Arial" w:hAnsi="Arial" w:eastAsia="宋体" w:cs="宋体"/>
          <w:sz w:val="22"/>
          <w:szCs w:val="22"/>
        </w:rPr>
        <w:t>条的约定要求乙方承担相应责任;甲方未选择解除合同的，甲方有权直接没收保证金，并要求乙方限期消除影响并赔偿甲方因此发生的损失。</w:t>
      </w:r>
    </w:p>
    <w:p>
      <w:pPr>
        <w:pStyle w:val="4"/>
        <w:keepNext w:val="0"/>
        <w:keepLines w:val="0"/>
        <w:pageBreakBefore w:val="0"/>
        <w:kinsoku/>
        <w:wordWrap/>
        <w:overflowPunct/>
        <w:topLinePunct w:val="0"/>
        <w:autoSpaceDE/>
        <w:autoSpaceDN/>
        <w:bidi w:val="0"/>
        <w:adjustRightInd/>
        <w:snapToGrid/>
        <w:spacing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5</w:t>
      </w:r>
      <w:r>
        <w:rPr>
          <w:rFonts w:hint="eastAsia" w:ascii="Arial" w:hAnsi="Arial" w:eastAsia="宋体" w:cs="宋体"/>
          <w:sz w:val="22"/>
          <w:szCs w:val="22"/>
        </w:rPr>
        <w:t>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6</w:t>
      </w:r>
      <w:r>
        <w:rPr>
          <w:rFonts w:hint="eastAsia" w:ascii="Arial" w:hAnsi="Arial" w:eastAsia="宋体" w:cs="宋体"/>
          <w:sz w:val="22"/>
          <w:szCs w:val="22"/>
        </w:rPr>
        <w:t>乙方的任何承包商、雇员、代理人或访客的行为、过失、疏忽或遗漏应被视为乙方的行为、过失、疏忽或遗漏，</w:t>
      </w:r>
      <w:r>
        <w:rPr>
          <w:rFonts w:hint="eastAsia" w:ascii="宋体" w:hAnsi="宋体" w:eastAsia="宋体" w:cs="宋体"/>
          <w:sz w:val="22"/>
          <w:szCs w:val="22"/>
        </w:rPr>
        <w:t>由乙方承担相应的责任</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11.7若乙方在商铺进行的业务或其它行为、活动、事情或其他作为或不作为，违反或触犯中国有关法律法规规定，而对甲方造成损失的，乙方应向甲方负赔偿责任及其它法律责任。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11.8乙方不得在商铺或公共区域等任何项目区域存放易燃、易爆、高腐蚀物品。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11.9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1经甲方同意后，</w:t>
      </w:r>
      <w:r>
        <w:rPr>
          <w:rFonts w:hint="eastAsia" w:ascii="宋体" w:hAnsi="宋体" w:eastAsia="宋体" w:cs="宋体"/>
          <w:sz w:val="22"/>
          <w:szCs w:val="22"/>
        </w:rPr>
        <w:t>乙方可以在指定地点设置其专用的店招、广告位、灯箱广告，</w:t>
      </w:r>
      <w:r>
        <w:rPr>
          <w:rFonts w:hint="eastAsia" w:ascii="Arial" w:hAnsi="Arial" w:eastAsia="宋体" w:cs="宋体"/>
          <w:sz w:val="22"/>
          <w:szCs w:val="22"/>
        </w:rPr>
        <w:t>或在商铺外的建筑楼栋外墙、公共区域安置店招、标识或进行宣传性质的展示或陈列，</w:t>
      </w:r>
      <w:r>
        <w:rPr>
          <w:rFonts w:hint="eastAsia" w:ascii="宋体" w:hAnsi="宋体" w:eastAsia="宋体" w:cs="宋体"/>
          <w:sz w:val="22"/>
          <w:szCs w:val="22"/>
        </w:rPr>
        <w:t>具体设置方式由双方另行协商确定。有关行政审批手续及费用由乙方自行负责，甲方应当予以协助。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2乙方不得阻碍公共通道或公共区域或影响其他租户的正常使用。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3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11.14乙方从任何政府部门收到关于商铺或任何公共设施的任何通告或文件，必须在</w:t>
      </w:r>
      <w:r>
        <w:rPr>
          <w:rFonts w:ascii="Arial" w:hAnsi="Arial" w:eastAsia="宋体" w:cs="宋体"/>
          <w:sz w:val="22"/>
          <w:szCs w:val="22"/>
        </w:rPr>
        <w:t>24</w:t>
      </w:r>
      <w:r>
        <w:rPr>
          <w:rFonts w:hint="eastAsia" w:ascii="Arial" w:hAnsi="Arial" w:eastAsia="宋体" w:cs="宋体"/>
          <w:sz w:val="22"/>
          <w:szCs w:val="22"/>
        </w:rPr>
        <w:t>小时以内以书面通知甲方。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outlineLvl w:val="0"/>
        <w:rPr>
          <w:rFonts w:ascii="Arial" w:hAnsi="Arial" w:eastAsia="宋体" w:cs="宋体"/>
          <w:sz w:val="22"/>
          <w:szCs w:val="22"/>
        </w:rPr>
      </w:pPr>
      <w:r>
        <w:rPr>
          <w:rFonts w:hint="eastAsia" w:ascii="Arial" w:hAnsi="Arial" w:eastAsia="宋体" w:cs="宋体"/>
          <w:sz w:val="22"/>
          <w:szCs w:val="22"/>
        </w:rPr>
        <w:t>11.15乙方应当最迟于交付日前自费为该商铺在租赁期限可能遇到的风险向资信度良好的保险公司购买保险，包括但不限于公众责任险、财产一切险(附加盗窃险)、公众责任险、食品安全责任险(餐饮类租户)，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outlineLvl w:val="0"/>
        <w:rPr>
          <w:rFonts w:ascii="Arial" w:hAnsi="Arial" w:eastAsia="宋体" w:cs="宋体"/>
          <w:sz w:val="22"/>
          <w:szCs w:val="22"/>
        </w:rPr>
      </w:pPr>
      <w:r>
        <w:rPr>
          <w:rFonts w:hint="eastAsia" w:ascii="Arial" w:hAnsi="Arial" w:eastAsia="宋体" w:cs="宋体"/>
          <w:sz w:val="22"/>
          <w:szCs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ascii="Arial" w:hAnsi="Arial" w:eastAsia="宋体" w:cs="宋体"/>
          <w:b/>
          <w:sz w:val="22"/>
          <w:szCs w:val="22"/>
        </w:rPr>
        <w:t>12</w:t>
      </w:r>
      <w:r>
        <w:rPr>
          <w:rFonts w:hint="eastAsia" w:ascii="Arial" w:hAnsi="Arial" w:eastAsia="宋体" w:cs="宋体"/>
          <w:b/>
          <w:sz w:val="22"/>
          <w:szCs w:val="22"/>
        </w:rPr>
        <w:t>、出租人权利及义务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.1</w:t>
      </w:r>
      <w:r>
        <w:rPr>
          <w:rFonts w:hint="eastAsia" w:ascii="Arial" w:hAnsi="Arial" w:eastAsia="宋体" w:cs="宋体"/>
          <w:sz w:val="22"/>
          <w:szCs w:val="22"/>
        </w:rPr>
        <w:t>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12.2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3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4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5甲方保留对项目、该建筑楼栋及其任何部分的命名权，甲方有权更改该项目或其任何部分的名字，而不须就该更改对乙方或其它任何人士作出任何解释或赔偿，也无需征得乙方的同意。</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3</w:t>
      </w:r>
      <w:r>
        <w:rPr>
          <w:rFonts w:hint="eastAsia" w:ascii="Arial" w:hAnsi="Arial" w:eastAsia="宋体" w:cs="宋体"/>
          <w:b/>
          <w:sz w:val="22"/>
          <w:szCs w:val="22"/>
        </w:rPr>
        <w:t>、商铺的交还</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.1</w:t>
      </w:r>
      <w:r>
        <w:rPr>
          <w:rFonts w:hint="eastAsia" w:ascii="Arial" w:hAnsi="Arial" w:eastAsia="宋体" w:cs="宋体"/>
          <w:sz w:val="22"/>
          <w:szCs w:val="22"/>
        </w:rPr>
        <w:t>无论何种情况导致本合同终止，乙方均应在本合同终止后10日内（或甲方书面认可的其他时间）交还该商铺，并自费将该商铺恢复至交付时本合同附件【五】所列明的状态或甲方书面认可的其他状态。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3若因乙方逾期交还商铺，每逾期一日，乙方应当按照交还商铺前一个租赁月的日平均租金(含税)两倍的标准向甲方支付占用使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4无论何种情况导致本合同终止，乙方应于本合同终止之日起10日内完成变更或注销以该商铺为注册地址的营业执照及其他全部证照或商铺的租赁备案撤销手续</w:t>
      </w:r>
      <w:r>
        <w:rPr>
          <w:rFonts w:hint="eastAsia" w:ascii="宋体" w:hAnsi="宋体" w:eastAsia="宋体" w:cs="宋体"/>
          <w:sz w:val="22"/>
          <w:szCs w:val="22"/>
        </w:rPr>
        <w:t>（如有）</w:t>
      </w:r>
      <w:r>
        <w:rPr>
          <w:rFonts w:hint="eastAsia" w:ascii="Arial" w:hAnsi="Arial" w:eastAsia="宋体" w:cs="宋体"/>
          <w:sz w:val="22"/>
          <w:szCs w:val="22"/>
        </w:rPr>
        <w:t>。否则，均视为乙方逾期交还商铺，乙方除按照合同13.3条约定承担违约责任外，还应当负责承担由此给甲方造成的损失（例如第三方的索赔或退租导致的损失等）。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13.5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6如本合同已经终止，但乙方的装饰物、办公用品、器材、设备或设施等任何物品仍存放于商铺内，甲方有权向乙方发出警告，并视情况按以下方式处理：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3.6.1</w:t>
      </w:r>
      <w:r>
        <w:rPr>
          <w:rFonts w:hint="eastAsia" w:ascii="Arial" w:hAnsi="Arial" w:eastAsia="宋体" w:cs="宋体"/>
          <w:sz w:val="22"/>
          <w:szCs w:val="22"/>
        </w:rPr>
        <w:t>如乙方未根据警告期限及时清空搬迁，则视为乙方已放弃其滞留的全部设施、设备等物品所有权，甲方有权通过折价等方式处理或转移物品，由此产生的运输、人工、仓储费等均由乙方承担；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13.6.2</w:t>
      </w:r>
      <w:r>
        <w:rPr>
          <w:rFonts w:hint="eastAsia" w:ascii="Arial" w:hAnsi="Arial" w:eastAsia="宋体" w:cs="宋体"/>
          <w:sz w:val="22"/>
          <w:szCs w:val="22"/>
        </w:rPr>
        <w:t>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乙方仍无法联系或乙方不愿取回物品或不愿结清所欠费用的，甲方仍有权进行变卖处置或另作他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13.6.3</w:t>
      </w:r>
      <w:r>
        <w:rPr>
          <w:rFonts w:hint="eastAsia" w:ascii="Arial" w:hAnsi="Arial" w:eastAsia="宋体" w:cs="宋体"/>
          <w:sz w:val="22"/>
          <w:szCs w:val="22"/>
        </w:rPr>
        <w:t>如乙方物品在本合同已经终止后却仍存放于商铺内并导致商铺无法继续使用或交付给未来的业主/新的承租人的，在根据合同第1</w:t>
      </w:r>
      <w:r>
        <w:rPr>
          <w:rFonts w:ascii="Arial" w:hAnsi="Arial" w:eastAsia="宋体" w:cs="宋体"/>
          <w:sz w:val="22"/>
          <w:szCs w:val="22"/>
        </w:rPr>
        <w:t>3.6.1</w:t>
      </w:r>
      <w:r>
        <w:rPr>
          <w:rFonts w:hint="eastAsia" w:ascii="Arial" w:hAnsi="Arial" w:eastAsia="宋体" w:cs="宋体"/>
          <w:sz w:val="22"/>
          <w:szCs w:val="22"/>
        </w:rPr>
        <w:t>、1</w:t>
      </w:r>
      <w:r>
        <w:rPr>
          <w:rFonts w:ascii="Arial" w:hAnsi="Arial" w:eastAsia="宋体" w:cs="宋体"/>
          <w:sz w:val="22"/>
          <w:szCs w:val="22"/>
        </w:rPr>
        <w:t>3.6.2</w:t>
      </w:r>
      <w:r>
        <w:rPr>
          <w:rFonts w:hint="eastAsia" w:ascii="Arial" w:hAnsi="Arial" w:eastAsia="宋体" w:cs="宋体"/>
          <w:sz w:val="22"/>
          <w:szCs w:val="22"/>
        </w:rPr>
        <w:t>款得以处置、清空与恢复约定状态之前，视为乙方未获得甲方同意而继续占用商铺并逾期交还商铺。</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4</w:t>
      </w:r>
      <w:r>
        <w:rPr>
          <w:rFonts w:hint="eastAsia" w:ascii="Arial" w:hAnsi="Arial" w:eastAsia="宋体" w:cs="宋体"/>
          <w:b/>
          <w:sz w:val="22"/>
          <w:szCs w:val="22"/>
        </w:rPr>
        <w:t>、违约责任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.1</w:t>
      </w:r>
      <w:r>
        <w:rPr>
          <w:rFonts w:hint="eastAsia" w:ascii="Arial" w:hAnsi="Arial" w:eastAsia="宋体" w:cs="宋体"/>
          <w:sz w:val="22"/>
          <w:szCs w:val="22"/>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就近一个租赁月的日平均租金(含税)两倍的标准向甲方支付违约金，直至该等违约行为完全纠正完毕之日，同时乙方还应赔偿甲方由此遭受的一切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14.3除非法律法规另有规定或本合同另有约定，若乙方擅自提前退租或因乙方违约导致甲方提前解除本合同的，乙方的履约保证金全额将不予退还，乙方还应承担本合同约定的其他违约或补偿责任（包括但不限于腾退商铺、补偿运营培育期租金等）。若乙方根据本条约定承担的违约责任仍不足以弥补甲方损失的，甲方有权向乙方继续追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w:t>
      </w:r>
      <w:r>
        <w:rPr>
          <w:rFonts w:hint="eastAsia" w:ascii="Arial" w:hAnsi="Arial" w:eastAsia="宋体" w:cs="宋体"/>
          <w:sz w:val="22"/>
          <w:szCs w:val="22"/>
        </w:rPr>
        <w:t>4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租金及其他预付费用。如乙方提出要求，甲方应确保有不少于</w:t>
      </w:r>
      <w:r>
        <w:rPr>
          <w:rFonts w:ascii="Arial" w:hAnsi="Arial" w:eastAsia="宋体" w:cs="宋体"/>
          <w:sz w:val="22"/>
          <w:szCs w:val="22"/>
        </w:rPr>
        <w:t>10</w:t>
      </w:r>
      <w:r>
        <w:rPr>
          <w:rFonts w:hint="eastAsia" w:ascii="Arial" w:hAnsi="Arial" w:eastAsia="宋体" w:cs="宋体"/>
          <w:sz w:val="22"/>
          <w:szCs w:val="22"/>
        </w:rPr>
        <w:t>天的免费搬离期并就搬离给予协助。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ascii="Arial" w:hAnsi="Arial" w:eastAsia="宋体" w:cs="宋体"/>
          <w:b/>
          <w:bCs/>
          <w:sz w:val="22"/>
          <w:szCs w:val="22"/>
        </w:rPr>
        <w:t>1</w:t>
      </w:r>
      <w:r>
        <w:rPr>
          <w:rFonts w:hint="eastAsia" w:ascii="Arial" w:hAnsi="Arial" w:eastAsia="宋体" w:cs="宋体"/>
          <w:b/>
          <w:bCs/>
          <w:sz w:val="22"/>
          <w:szCs w:val="22"/>
        </w:rPr>
        <w:t>4</w:t>
      </w:r>
      <w:r>
        <w:rPr>
          <w:rFonts w:ascii="Arial" w:hAnsi="Arial" w:eastAsia="宋体" w:cs="宋体"/>
          <w:b/>
          <w:bCs/>
          <w:sz w:val="22"/>
          <w:szCs w:val="22"/>
        </w:rPr>
        <w:t>.</w:t>
      </w:r>
      <w:r>
        <w:rPr>
          <w:rFonts w:hint="eastAsia" w:ascii="Arial" w:hAnsi="Arial" w:eastAsia="宋体" w:cs="宋体"/>
          <w:b/>
          <w:bCs/>
          <w:sz w:val="22"/>
          <w:szCs w:val="22"/>
        </w:rPr>
        <w:t>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14.6本合同所指损失包括但不限于租金损失、中介费、广告费、装饰装修拆除费、留存物品保管费和处理费、管理费，以及因可归咎于违约方的原因导致守约方向第三方承担的赔偿和/或违约责任。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4.7</w:t>
      </w:r>
      <w:r>
        <w:rPr>
          <w:rFonts w:hint="eastAsia" w:ascii="Arial" w:hAnsi="Arial" w:eastAsia="宋体" w:cs="宋体"/>
          <w:sz w:val="22"/>
          <w:szCs w:val="22"/>
        </w:rPr>
        <w:t>为免疑义，因守约方为实现权利所产生的合理支出，包括但不限于诉讼费、律师费、保全申请费、保全担保（保险）费、公证费、鉴定费、评估费，均由违约方承担。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5</w:t>
      </w:r>
      <w:r>
        <w:rPr>
          <w:rFonts w:hint="eastAsia" w:ascii="Arial" w:hAnsi="Arial" w:eastAsia="宋体" w:cs="宋体"/>
          <w:b/>
          <w:sz w:val="22"/>
          <w:szCs w:val="22"/>
        </w:rPr>
        <w:t>、合同的解除</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.1</w:t>
      </w:r>
      <w:r>
        <w:rPr>
          <w:rFonts w:hint="eastAsia" w:ascii="Arial" w:hAnsi="Arial" w:eastAsia="宋体" w:cs="宋体"/>
          <w:sz w:val="22"/>
          <w:szCs w:val="22"/>
        </w:rPr>
        <w:t>租赁期限内如经双方一致同意，本合同可提前解除，具体手续及责任双方另行协商。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15.2除本合同另有约定外，合同期内，如出现下述情况，任何一方有权提前解除本合同且双方均不承担违约责任：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5.2.1</w:t>
      </w:r>
      <w:r>
        <w:rPr>
          <w:rFonts w:hint="eastAsia" w:ascii="Arial" w:hAnsi="Arial" w:eastAsia="宋体" w:cs="宋体"/>
          <w:sz w:val="22"/>
          <w:szCs w:val="22"/>
        </w:rPr>
        <w:t>本项目被中国政府任何部门征用或拆迁。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5.2.2</w:t>
      </w:r>
      <w:r>
        <w:rPr>
          <w:rFonts w:hint="eastAsia" w:ascii="Arial" w:hAnsi="Arial" w:eastAsia="宋体" w:cs="宋体"/>
          <w:sz w:val="22"/>
          <w:szCs w:val="22"/>
        </w:rPr>
        <w:t>本项目占用范围内的土地使用权依法提前收回的。</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5.2.3</w:t>
      </w:r>
      <w:r>
        <w:rPr>
          <w:rFonts w:hint="eastAsia" w:ascii="Arial" w:hAnsi="Arial" w:eastAsia="宋体" w:cs="宋体"/>
          <w:sz w:val="22"/>
          <w:szCs w:val="22"/>
        </w:rPr>
        <w:t>本项目被中国政府任何部门，包括司法、行政机关依法限制其房地产权利。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15.3发生以下情形之一的，甲方有权单方解除合同并根据合同约定追究乙方违约责任：</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5.3.1</w:t>
      </w:r>
      <w:r>
        <w:rPr>
          <w:rFonts w:hint="eastAsia" w:ascii="Arial" w:hAnsi="Arial" w:eastAsia="宋体" w:cs="宋体"/>
          <w:sz w:val="22"/>
          <w:szCs w:val="22"/>
        </w:rPr>
        <w:t>乙方未按照本合同按时缴纳租金、综合管理费、垃圾清运费、能耗费用、履约保证金或其他任何款项，逾期超过30日的；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5.3.2</w:t>
      </w:r>
      <w:r>
        <w:rPr>
          <w:rFonts w:hint="eastAsia" w:ascii="Arial" w:hAnsi="Arial" w:eastAsia="宋体" w:cs="宋体"/>
          <w:sz w:val="22"/>
          <w:szCs w:val="22"/>
        </w:rPr>
        <w:t>乙方无故逾期收房超过30日的；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5.3.3</w:t>
      </w:r>
      <w:r>
        <w:rPr>
          <w:rFonts w:hint="eastAsia" w:ascii="Arial" w:hAnsi="Arial" w:eastAsia="宋体" w:cs="宋体"/>
          <w:sz w:val="22"/>
          <w:szCs w:val="22"/>
        </w:rPr>
        <w:t>未经甲方书面同意，乙方擅自改变商铺的规划用途、使用用途、营业范围的；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5.3.4</w:t>
      </w:r>
      <w:r>
        <w:rPr>
          <w:rFonts w:hint="eastAsia" w:ascii="Arial" w:hAnsi="Arial" w:eastAsia="宋体" w:cs="宋体"/>
          <w:sz w:val="22"/>
          <w:szCs w:val="22"/>
        </w:rPr>
        <w:t>在双方办理该商铺交付手续后7日内乙方没有进场装修，或因乙方原因导致该商铺逾期超过60日仍未能开业的；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5.3.5</w:t>
      </w:r>
      <w:r>
        <w:rPr>
          <w:rFonts w:hint="eastAsia" w:ascii="Arial" w:hAnsi="Arial" w:eastAsia="宋体" w:cs="宋体"/>
          <w:sz w:val="22"/>
          <w:szCs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5.3.6</w:t>
      </w:r>
      <w:r>
        <w:rPr>
          <w:rFonts w:hint="eastAsia" w:ascii="Arial" w:hAnsi="Arial" w:eastAsia="宋体" w:cs="宋体"/>
          <w:sz w:val="22"/>
          <w:szCs w:val="22"/>
        </w:rPr>
        <w:t>乙方未能在限期内按要求取得经营活动所必要的执照、批准证书或许可证等，或虽提供但在本合同存续期间失效或被撤销/吊销的，经甲方书面催告后30日内还没有办理完毕或向甲方提供或恢复有效的；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5.3.7</w:t>
      </w:r>
      <w:r>
        <w:rPr>
          <w:rFonts w:hint="eastAsia" w:ascii="Arial" w:hAnsi="Arial" w:eastAsia="宋体" w:cs="宋体"/>
          <w:sz w:val="22"/>
          <w:szCs w:val="22"/>
        </w:rPr>
        <w:t>每个自然年度内，甲方收到任何第三方有关乙方在该商铺内销售的商品或提供服务的投诉、权利主张或索赔要求，经查实确系乙方过错且乙方未能在接到甲方通知后及时妥善解决累计超过5次的；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5.3.8</w:t>
      </w:r>
      <w:r>
        <w:rPr>
          <w:rFonts w:hint="eastAsia" w:ascii="Arial" w:hAnsi="Arial" w:eastAsia="宋体" w:cs="宋体"/>
          <w:sz w:val="22"/>
          <w:szCs w:val="22"/>
        </w:rPr>
        <w:t>乙方如为餐饮或食品经营者，其生产或经营的食品的安全管理责任由乙方自行承担。乙方经营期间如发生任何食品安全事故，由乙方承担全部责任，甲方有权立即解除本合同；</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5.3.9</w:t>
      </w:r>
      <w:r>
        <w:rPr>
          <w:rFonts w:hint="eastAsia" w:ascii="Arial" w:hAnsi="Arial" w:eastAsia="宋体" w:cs="宋体"/>
          <w:sz w:val="22"/>
          <w:szCs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5.3.10</w:t>
      </w:r>
      <w:r>
        <w:rPr>
          <w:rFonts w:hint="eastAsia" w:ascii="Arial" w:hAnsi="Arial" w:eastAsia="宋体" w:cs="宋体"/>
          <w:sz w:val="22"/>
          <w:szCs w:val="22"/>
        </w:rPr>
        <w:t>乙方的行为给甲方造成商业或者声誉上的不良影响，导致甲方遭受损失且乙方未能在甲方通知期限内消除该影响的；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5.3.11</w:t>
      </w:r>
      <w:r>
        <w:rPr>
          <w:rFonts w:hint="eastAsia" w:ascii="Arial" w:hAnsi="Arial" w:eastAsia="宋体" w:cs="宋体"/>
          <w:sz w:val="22"/>
          <w:szCs w:val="22"/>
        </w:rPr>
        <w:t>除非法律法规另有规定或本合同另有约定，因乙方自身原因停止营业持续超过24小时的；</w:t>
      </w:r>
    </w:p>
    <w:p>
      <w:pPr>
        <w:spacing w:before="156" w:beforeLines="50" w:after="156" w:afterLines="50" w:line="440" w:lineRule="exact"/>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15.3.12</w:t>
      </w:r>
      <w:r>
        <w:rPr>
          <w:rFonts w:hint="eastAsia" w:ascii="Arial" w:hAnsi="Arial" w:eastAsia="宋体" w:cs="宋体"/>
          <w:sz w:val="22"/>
          <w:szCs w:val="22"/>
          <w:highlight w:val="none"/>
        </w:rPr>
        <w:t>乙方</w:t>
      </w:r>
      <w:r>
        <w:rPr>
          <w:rFonts w:hint="eastAsia" w:ascii="Arial" w:hAnsi="Arial" w:eastAsia="宋体" w:cs="宋体"/>
          <w:sz w:val="22"/>
          <w:szCs w:val="22"/>
          <w:highlight w:val="none"/>
          <w:lang w:val="en-US" w:eastAsia="zh-CN"/>
        </w:rPr>
        <w:t>存在</w:t>
      </w:r>
      <w:r>
        <w:rPr>
          <w:rFonts w:hint="eastAsia" w:ascii="Arial" w:hAnsi="Arial" w:eastAsia="宋体" w:cs="宋体"/>
          <w:sz w:val="22"/>
          <w:szCs w:val="22"/>
          <w:highlight w:val="none"/>
        </w:rPr>
        <w:t>营业额数据有</w:t>
      </w:r>
      <w:r>
        <w:rPr>
          <w:rFonts w:hint="eastAsia" w:ascii="Arial" w:hAnsi="Arial" w:eastAsia="宋体" w:cs="宋体"/>
          <w:sz w:val="22"/>
          <w:szCs w:val="22"/>
          <w:highlight w:val="none"/>
          <w:lang w:val="en-US" w:eastAsia="zh-CN"/>
        </w:rPr>
        <w:t>造假、</w:t>
      </w:r>
      <w:r>
        <w:rPr>
          <w:rFonts w:hint="eastAsia" w:ascii="Arial" w:hAnsi="Arial" w:eastAsia="宋体" w:cs="宋体"/>
          <w:sz w:val="22"/>
          <w:szCs w:val="22"/>
          <w:highlight w:val="none"/>
        </w:rPr>
        <w:t>缺漏的；</w:t>
      </w:r>
    </w:p>
    <w:p>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w:t>
      </w:r>
      <w:r>
        <w:rPr>
          <w:rFonts w:hint="eastAsia" w:ascii="Arial" w:hAnsi="Arial" w:eastAsia="宋体" w:cs="宋体"/>
          <w:sz w:val="22"/>
          <w:szCs w:val="22"/>
          <w:lang w:val="en-US" w:eastAsia="zh-CN"/>
        </w:rPr>
        <w:t>3</w:t>
      </w:r>
      <w:r>
        <w:rPr>
          <w:rFonts w:hint="eastAsia" w:ascii="Arial" w:hAnsi="Arial" w:eastAsia="宋体" w:cs="宋体"/>
          <w:sz w:val="22"/>
          <w:szCs w:val="22"/>
        </w:rPr>
        <w:t>乙方未能按本合同第10.4条的约定履行其对该商铺的修缮义务的；</w:t>
      </w:r>
    </w:p>
    <w:p>
      <w:pPr>
        <w:spacing w:before="156" w:beforeLines="50" w:after="156" w:afterLines="50" w:line="440" w:lineRule="exact"/>
        <w:ind w:firstLine="440" w:firstLineChars="200"/>
        <w:rPr>
          <w:rFonts w:hint="eastAsia" w:ascii="Arial" w:hAnsi="Arial" w:eastAsia="宋体" w:cs="宋体"/>
          <w:sz w:val="22"/>
          <w:szCs w:val="22"/>
        </w:rPr>
      </w:pPr>
      <w:r>
        <w:rPr>
          <w:rFonts w:ascii="Arial" w:hAnsi="Arial" w:eastAsia="宋体" w:cs="宋体"/>
          <w:sz w:val="22"/>
          <w:szCs w:val="22"/>
        </w:rPr>
        <w:t>15.3.1</w:t>
      </w:r>
      <w:r>
        <w:rPr>
          <w:rFonts w:hint="eastAsia" w:ascii="Arial" w:hAnsi="Arial" w:eastAsia="宋体" w:cs="宋体"/>
          <w:sz w:val="22"/>
          <w:szCs w:val="22"/>
          <w:lang w:val="en-US" w:eastAsia="zh-CN"/>
        </w:rPr>
        <w:t>4</w:t>
      </w:r>
      <w:r>
        <w:rPr>
          <w:rFonts w:hint="eastAsia" w:ascii="Arial" w:hAnsi="Arial" w:eastAsia="宋体" w:cs="宋体"/>
          <w:sz w:val="22"/>
          <w:szCs w:val="22"/>
        </w:rPr>
        <w:t>乙方存在违反本协议约定的其他情形，甲方有权发出限期整改的书面整改通知，乙方未在甲方规定时限内及时整改超过30日的；</w:t>
      </w:r>
    </w:p>
    <w:p>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w:t>
      </w:r>
      <w:r>
        <w:rPr>
          <w:rFonts w:hint="eastAsia" w:ascii="Arial" w:hAnsi="Arial" w:eastAsia="宋体" w:cs="宋体"/>
          <w:sz w:val="22"/>
          <w:szCs w:val="22"/>
          <w:lang w:val="en-US" w:eastAsia="zh-CN"/>
        </w:rPr>
        <w:t>5</w:t>
      </w:r>
      <w:r>
        <w:rPr>
          <w:rFonts w:hint="eastAsia" w:ascii="Arial" w:hAnsi="Arial" w:eastAsia="宋体" w:cs="宋体"/>
          <w:sz w:val="22"/>
          <w:szCs w:val="22"/>
        </w:rPr>
        <w:t>法律、法规或本合同其他条款允许甲方单方提前解除合同的其他情况。</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15.4发生以下情形之一的，乙方有权单方解除合同并根据合同约定追究甲方违约责任：</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5.4.1</w:t>
      </w:r>
      <w:r>
        <w:rPr>
          <w:rFonts w:hint="eastAsia" w:ascii="Arial" w:hAnsi="Arial" w:eastAsia="宋体" w:cs="宋体"/>
          <w:sz w:val="22"/>
          <w:szCs w:val="22"/>
        </w:rPr>
        <w:t>因抵押权人实现抵押权而导致本合同无法继续履行的；</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5.4.2</w:t>
      </w:r>
      <w:r>
        <w:rPr>
          <w:rFonts w:hint="eastAsia" w:ascii="Arial" w:hAnsi="Arial" w:eastAsia="宋体" w:cs="宋体"/>
          <w:sz w:val="22"/>
          <w:szCs w:val="22"/>
        </w:rPr>
        <w:t>甲方擅自提前终止本合同并收回商铺；</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5.4.3</w:t>
      </w:r>
      <w:r>
        <w:rPr>
          <w:rFonts w:hint="eastAsia" w:ascii="Arial" w:hAnsi="Arial" w:eastAsia="宋体" w:cs="宋体"/>
          <w:sz w:val="22"/>
          <w:szCs w:val="22"/>
        </w:rPr>
        <w:t>因甲方转让全部或部分商铺导致乙方无法继续使用该商铺的；</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5.4.4</w:t>
      </w:r>
      <w:r>
        <w:rPr>
          <w:rFonts w:hint="eastAsia" w:ascii="Arial" w:hAnsi="Arial" w:eastAsia="宋体" w:cs="宋体"/>
          <w:sz w:val="22"/>
          <w:szCs w:val="22"/>
        </w:rPr>
        <w:t>法律、法规或本合同其他条款允许乙方单方提前解除合同的其他情况。</w:t>
      </w:r>
    </w:p>
    <w:p>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5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6</w:t>
      </w:r>
      <w:r>
        <w:rPr>
          <w:rFonts w:hint="eastAsia" w:ascii="Arial" w:hAnsi="Arial" w:eastAsia="宋体" w:cs="宋体"/>
          <w:b/>
          <w:sz w:val="22"/>
          <w:szCs w:val="22"/>
        </w:rPr>
        <w:t>、豁免条款</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16.1各方确认，在下述情况下，甲方不承担任何责任，且本合同项下之租金、综合管理费及其它费用不得减免或中止支付：</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6.1.1</w:t>
      </w:r>
      <w:r>
        <w:rPr>
          <w:rFonts w:hint="eastAsia" w:ascii="Arial" w:hAnsi="Arial" w:eastAsia="宋体" w:cs="宋体"/>
          <w:b/>
          <w:bCs/>
          <w:sz w:val="22"/>
          <w:szCs w:val="22"/>
        </w:rPr>
        <w:t>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6.1.2</w:t>
      </w:r>
      <w:r>
        <w:rPr>
          <w:rFonts w:hint="eastAsia" w:ascii="Arial" w:hAnsi="Arial" w:eastAsia="宋体" w:cs="宋体"/>
          <w:b/>
          <w:bCs/>
          <w:sz w:val="22"/>
          <w:szCs w:val="22"/>
        </w:rPr>
        <w:t>由于乙方或第三者的原因对乙方或第三者造成的任何损失和伤害。</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6.1.3</w:t>
      </w:r>
      <w:r>
        <w:rPr>
          <w:rFonts w:hint="eastAsia" w:ascii="Arial" w:hAnsi="Arial" w:eastAsia="宋体" w:cs="宋体"/>
          <w:b/>
          <w:bCs/>
          <w:sz w:val="22"/>
          <w:szCs w:val="22"/>
        </w:rPr>
        <w:t>项目内发生的盗窃、抢劫、抢夺、诈骗、恐怖分子制造的恐怖行为等刑事、治安案件造成乙方损失的。</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6.1.4</w:t>
      </w:r>
      <w:r>
        <w:rPr>
          <w:rFonts w:hint="eastAsia" w:ascii="Arial" w:hAnsi="Arial" w:eastAsia="宋体" w:cs="宋体"/>
          <w:b/>
          <w:bCs/>
          <w:sz w:val="22"/>
          <w:szCs w:val="22"/>
        </w:rPr>
        <w:t>因不可抗力或者政府行为等不可控制的原因导致甲方违反本合同的约定给乙方带来不便或损失的。</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16.2乙方在此声明，除非下列任何情形是因甲方故意或者重大过失直接引起的，甲方在下列任何情形下不必对乙方或任何其它人士负责，乙方应直接与造成损害的其他直接责任方交涉：</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6.2.1</w:t>
      </w:r>
      <w:r>
        <w:rPr>
          <w:rFonts w:hint="eastAsia" w:ascii="Arial" w:hAnsi="Arial" w:eastAsia="宋体" w:cs="宋体"/>
          <w:b/>
          <w:bCs/>
          <w:sz w:val="22"/>
          <w:szCs w:val="22"/>
        </w:rPr>
        <w:t>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6.2.2</w:t>
      </w:r>
      <w:r>
        <w:rPr>
          <w:rFonts w:hint="eastAsia" w:ascii="Arial" w:hAnsi="Arial" w:eastAsia="宋体" w:cs="宋体"/>
          <w:b/>
          <w:bCs/>
          <w:sz w:val="22"/>
          <w:szCs w:val="22"/>
        </w:rPr>
        <w:t>如上述情况是因甲方故意或重大过失直接引起的，甲方应在法律规定和本合同约定的责任范围内赔偿乙方因此而遭受的直接经济损失。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7</w:t>
      </w:r>
      <w:r>
        <w:rPr>
          <w:rFonts w:hint="eastAsia" w:ascii="Arial" w:hAnsi="Arial" w:eastAsia="宋体" w:cs="宋体"/>
          <w:b/>
          <w:sz w:val="22"/>
          <w:szCs w:val="22"/>
        </w:rPr>
        <w:t>、不可抗力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7</w:t>
      </w:r>
      <w:r>
        <w:rPr>
          <w:rFonts w:ascii="Arial" w:hAnsi="Arial" w:eastAsia="宋体" w:cs="宋体"/>
          <w:sz w:val="22"/>
          <w:szCs w:val="22"/>
        </w:rPr>
        <w:t>.1</w:t>
      </w:r>
      <w:r>
        <w:rPr>
          <w:rFonts w:hint="eastAsia" w:ascii="Arial" w:hAnsi="Arial" w:eastAsia="宋体" w:cs="宋体"/>
          <w:sz w:val="22"/>
          <w:szCs w:val="22"/>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pPr>
        <w:keepNext w:val="0"/>
        <w:keepLines w:val="0"/>
        <w:pageBreakBefore w:val="0"/>
        <w:numPr>
          <w:ilvl w:val="255"/>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17.2如因不可抗力导致本合同不能履行且持续时间超过90日的，任何一方均有权单方面以书面通知的形式提前终止本合同，且互不负违约责任。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8</w:t>
      </w:r>
      <w:r>
        <w:rPr>
          <w:rFonts w:hint="eastAsia" w:ascii="Arial" w:hAnsi="Arial" w:eastAsia="宋体" w:cs="宋体"/>
          <w:b/>
          <w:sz w:val="22"/>
          <w:szCs w:val="22"/>
        </w:rPr>
        <w:t>、通知与送达</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18.2甲、乙方的送达地址及相关信息详见【附件三】第八条：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18.4本合同中各方提供或确认的送达地址，也是各自确认的各类诉讼/仲裁文书的送达地址，均可用于接收各类诉讼/仲裁文书。本条上述约定同样适用于诉讼/仲裁文书送达程序。</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9</w:t>
      </w:r>
      <w:r>
        <w:rPr>
          <w:rFonts w:hint="eastAsia" w:ascii="Arial" w:hAnsi="Arial" w:eastAsia="宋体" w:cs="宋体"/>
          <w:b/>
          <w:sz w:val="22"/>
          <w:szCs w:val="22"/>
        </w:rPr>
        <w:t>、补充责任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.1</w:t>
      </w:r>
      <w:r>
        <w:rPr>
          <w:rFonts w:hint="eastAsia" w:ascii="Arial" w:hAnsi="Arial" w:eastAsia="宋体" w:cs="宋体"/>
          <w:sz w:val="22"/>
          <w:szCs w:val="22"/>
        </w:rPr>
        <w:t>租赁期限内，甲方如出卖商铺的，</w:t>
      </w:r>
      <w:r>
        <w:rPr>
          <w:rFonts w:hint="eastAsia" w:ascii="Arial" w:hAnsi="Arial" w:eastAsia="宋体" w:cs="宋体"/>
          <w:b/>
          <w:sz w:val="22"/>
          <w:szCs w:val="22"/>
        </w:rPr>
        <w:t>乙方在此明确放弃优先购买商铺的权利</w:t>
      </w:r>
      <w:r>
        <w:rPr>
          <w:rFonts w:hint="eastAsia" w:ascii="Arial" w:hAnsi="Arial" w:eastAsia="宋体" w:cs="宋体"/>
          <w:sz w:val="22"/>
          <w:szCs w:val="22"/>
        </w:rPr>
        <w:t>，但该等放弃并不影响乙方作为有购房意愿的竞争者之一与甲方就购买商铺展开磋商。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.2</w:t>
      </w:r>
      <w:r>
        <w:rPr>
          <w:rFonts w:hint="eastAsia" w:ascii="Arial" w:hAnsi="Arial" w:eastAsia="宋体" w:cs="宋体"/>
          <w:sz w:val="22"/>
          <w:szCs w:val="22"/>
        </w:rPr>
        <w:t>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.3</w:t>
      </w:r>
      <w:r>
        <w:rPr>
          <w:rFonts w:hint="eastAsia" w:ascii="Arial" w:hAnsi="Arial" w:eastAsia="宋体" w:cs="宋体"/>
          <w:sz w:val="22"/>
          <w:szCs w:val="22"/>
        </w:rPr>
        <w:t>如双方未能在租赁期届满前三个月订立续租合同，在租赁期最后三个月内乙方须允许甲方在甲方认为合理的地方，张贴商铺招租告示，乙方不应遮盖该等告示。对于甲方陪同可能的新业主或新租户在预先约定的合理时间内，视察商铺时，乙方应尽力配合甲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.4</w:t>
      </w:r>
      <w:r>
        <w:rPr>
          <w:rFonts w:hint="eastAsia" w:ascii="Arial" w:hAnsi="Arial" w:eastAsia="宋体" w:cs="宋体"/>
          <w:sz w:val="22"/>
          <w:szCs w:val="22"/>
        </w:rPr>
        <w:t>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.5</w:t>
      </w:r>
      <w:r>
        <w:rPr>
          <w:rFonts w:hint="eastAsia" w:ascii="Arial" w:hAnsi="Arial" w:eastAsia="宋体" w:cs="宋体"/>
          <w:sz w:val="22"/>
          <w:szCs w:val="22"/>
        </w:rPr>
        <w:t>甲乙双方特此同意，在合同期内，如乙方的现有股东结构发生变更，从而使得乙方的现有控股股东不再成为乙方的直接或间接控股股东或第一大股东,则乙方应于有关该股东变更之协议书签署之日或该股东变更经政府有关部门批准或登记之日起3日内通知甲方。若新股东变更后乙方无法正常履行本合同，则甲方有权(但无义务)在接到该通知后或在甲方知道乙方该等控股股东结构发生变更之日后解除本合同，收回该商铺，并没收乙方所交纳的租赁保证金。若因此而给甲方造成损失，乙方应赔偿甲方全部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.6</w:t>
      </w:r>
      <w:r>
        <w:rPr>
          <w:rFonts w:hint="eastAsia" w:ascii="Arial" w:hAnsi="Arial" w:eastAsia="宋体" w:cs="宋体"/>
          <w:sz w:val="22"/>
          <w:szCs w:val="22"/>
        </w:rPr>
        <w:t>双方同意不向传播媒介或公众透露任何与本合同条款有关的保密信息，特别是附件三的全部内容，尤其是乙方不得向其他潜在的项目租户/买受人透露本合同项下的商务条件。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2</w:t>
      </w:r>
      <w:r>
        <w:rPr>
          <w:rFonts w:ascii="Arial" w:hAnsi="Arial" w:eastAsia="宋体" w:cs="宋体"/>
          <w:b/>
          <w:sz w:val="22"/>
          <w:szCs w:val="22"/>
        </w:rPr>
        <w:t>0</w:t>
      </w:r>
      <w:r>
        <w:rPr>
          <w:rFonts w:hint="eastAsia" w:ascii="Arial" w:hAnsi="Arial" w:eastAsia="宋体" w:cs="宋体"/>
          <w:b/>
          <w:sz w:val="22"/>
          <w:szCs w:val="22"/>
        </w:rPr>
        <w:t>、其它约定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.1</w:t>
      </w:r>
      <w:r>
        <w:rPr>
          <w:rFonts w:hint="eastAsia" w:ascii="Arial" w:hAnsi="Arial" w:eastAsia="宋体" w:cs="宋体"/>
          <w:sz w:val="22"/>
          <w:szCs w:val="22"/>
        </w:rPr>
        <w:t>双方同意，本合同的所有附件、补充协议（如有），为本合同不可分割的组成部分，与本合同具同等的法律效力。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.2</w:t>
      </w:r>
      <w:r>
        <w:rPr>
          <w:rFonts w:hint="eastAsia" w:ascii="Arial" w:hAnsi="Arial" w:eastAsia="宋体" w:cs="宋体"/>
          <w:sz w:val="22"/>
          <w:szCs w:val="22"/>
        </w:rPr>
        <w:t>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.3</w:t>
      </w:r>
      <w:r>
        <w:rPr>
          <w:rFonts w:hint="eastAsia" w:ascii="Arial" w:hAnsi="Arial" w:eastAsia="宋体" w:cs="宋体"/>
          <w:sz w:val="22"/>
          <w:szCs w:val="22"/>
        </w:rPr>
        <w:t>双方此前就商铺签订或达成任何口头或书面协议、承诺均被本合同取代。</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.4</w:t>
      </w:r>
      <w:r>
        <w:rPr>
          <w:rFonts w:hint="eastAsia" w:ascii="Arial" w:hAnsi="Arial" w:eastAsia="宋体" w:cs="宋体"/>
          <w:sz w:val="22"/>
          <w:szCs w:val="22"/>
        </w:rPr>
        <w:t>因本合同的履行所产生的任何争议，双方应平等协商，若协商不能取得一致，任一方均有权向商铺所在地人民法院起诉。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20.5本合同自双方签署盖章之日起生效。本合同一式</w:t>
      </w:r>
      <w:r>
        <w:rPr>
          <w:rFonts w:hint="eastAsia" w:ascii="Arial" w:hAnsi="Arial" w:eastAsia="宋体" w:cs="宋体"/>
          <w:sz w:val="22"/>
          <w:szCs w:val="22"/>
          <w:u w:val="single"/>
        </w:rPr>
        <w:t xml:space="preserve">  伍  </w:t>
      </w:r>
      <w:r>
        <w:rPr>
          <w:rFonts w:hint="eastAsia" w:ascii="Arial" w:hAnsi="Arial" w:eastAsia="宋体" w:cs="宋体"/>
          <w:sz w:val="22"/>
          <w:szCs w:val="22"/>
        </w:rPr>
        <w:t>份，甲乙双方各执</w:t>
      </w:r>
      <w:r>
        <w:rPr>
          <w:rFonts w:hint="eastAsia" w:ascii="Arial" w:hAnsi="Arial" w:eastAsia="宋体" w:cs="宋体"/>
          <w:sz w:val="22"/>
          <w:szCs w:val="22"/>
          <w:u w:val="single"/>
        </w:rPr>
        <w:t xml:space="preserve">  贰  </w:t>
      </w:r>
      <w:r>
        <w:rPr>
          <w:rFonts w:hint="eastAsia" w:ascii="Arial" w:hAnsi="Arial" w:eastAsia="宋体" w:cs="宋体"/>
          <w:sz w:val="22"/>
          <w:szCs w:val="22"/>
        </w:rPr>
        <w:t>份，以有关部门备案登记为目的另预留壹份由甲方保管，均具有同等法律效力。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jc w:val="center"/>
        <w:textAlignment w:val="auto"/>
        <w:rPr>
          <w:rFonts w:hint="eastAsia" w:ascii="宋体" w:hAnsi="宋体" w:eastAsia="宋体" w:cs="宋体"/>
          <w:sz w:val="22"/>
          <w:szCs w:val="22"/>
          <w:lang w:eastAsia="zh-CN"/>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本行以下无正文，为签署页</w:t>
      </w:r>
      <w:r>
        <w:rPr>
          <w:rFonts w:hint="eastAsia" w:ascii="宋体" w:hAnsi="宋体" w:eastAsia="宋体" w:cs="宋体"/>
          <w:sz w:val="22"/>
          <w:szCs w:val="22"/>
          <w:lang w:eastAsia="zh-CN"/>
        </w:rPr>
        <w:t>）</w:t>
      </w:r>
    </w:p>
    <w:p>
      <w:pPr>
        <w:rPr>
          <w:rFonts w:hint="eastAsia" w:ascii="Arial" w:hAnsi="Arial" w:eastAsia="宋体" w:cs="宋体"/>
          <w:b/>
          <w:bCs/>
          <w:sz w:val="22"/>
          <w:szCs w:val="22"/>
        </w:rPr>
      </w:pPr>
      <w:r>
        <w:rPr>
          <w:rFonts w:hint="eastAsia" w:ascii="Arial" w:hAnsi="Arial" w:eastAsia="宋体" w:cs="宋体"/>
          <w:b/>
          <w:bCs/>
          <w:sz w:val="22"/>
          <w:szCs w:val="22"/>
        </w:rPr>
        <w:br w:type="page"/>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甲方（盖章）：</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法定代表人或授权代表（签字：）</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乙方（盖章</w:t>
      </w:r>
      <w:r>
        <w:rPr>
          <w:rFonts w:ascii="Arial" w:hAnsi="Arial" w:eastAsia="宋体" w:cs="宋体"/>
          <w:b/>
          <w:bCs/>
          <w:sz w:val="22"/>
          <w:szCs w:val="22"/>
        </w:rPr>
        <w:t>/</w:t>
      </w:r>
      <w:r>
        <w:rPr>
          <w:rFonts w:hint="eastAsia" w:ascii="Arial" w:hAnsi="Arial" w:eastAsia="宋体" w:cs="宋体"/>
          <w:b/>
          <w:bCs/>
          <w:sz w:val="22"/>
          <w:szCs w:val="22"/>
        </w:rPr>
        <w:t>签字）：</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法定代表人或授权代表（签字）：</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r>
        <w:rPr>
          <w:rFonts w:hint="eastAsia" w:ascii="Arial" w:hAnsi="Arial" w:eastAsia="宋体" w:cs="宋体"/>
          <w:b/>
          <w:bCs/>
          <w:sz w:val="22"/>
          <w:szCs w:val="22"/>
        </w:rPr>
        <w:t>本合同的签订日期：</w:t>
      </w:r>
      <w:r>
        <w:rPr>
          <w:rFonts w:ascii="Arial" w:hAnsi="Arial" w:eastAsia="宋体" w:cs="宋体"/>
          <w:b/>
          <w:bCs/>
          <w:sz w:val="22"/>
          <w:szCs w:val="22"/>
        </w:rPr>
        <w:t xml:space="preserve">    </w:t>
      </w:r>
      <w:r>
        <w:rPr>
          <w:rFonts w:hint="eastAsia" w:ascii="Arial" w:hAnsi="Arial" w:eastAsia="宋体" w:cs="宋体"/>
          <w:b/>
          <w:bCs/>
          <w:sz w:val="22"/>
          <w:szCs w:val="22"/>
        </w:rPr>
        <w:t>年</w:t>
      </w:r>
      <w:r>
        <w:rPr>
          <w:rFonts w:ascii="Arial" w:hAnsi="Arial" w:eastAsia="宋体" w:cs="宋体"/>
          <w:b/>
          <w:bCs/>
          <w:sz w:val="22"/>
          <w:szCs w:val="22"/>
        </w:rPr>
        <w:t xml:space="preserve">   </w:t>
      </w:r>
      <w:r>
        <w:rPr>
          <w:rFonts w:hint="eastAsia" w:ascii="Arial" w:hAnsi="Arial" w:eastAsia="宋体" w:cs="宋体"/>
          <w:b/>
          <w:bCs/>
          <w:sz w:val="22"/>
          <w:szCs w:val="22"/>
        </w:rPr>
        <w:t>月</w:t>
      </w:r>
      <w:r>
        <w:rPr>
          <w:rFonts w:ascii="Arial" w:hAnsi="Arial" w:eastAsia="宋体" w:cs="宋体"/>
          <w:b/>
          <w:bCs/>
          <w:sz w:val="22"/>
          <w:szCs w:val="22"/>
        </w:rPr>
        <w:t xml:space="preserve">   </w:t>
      </w:r>
      <w:r>
        <w:rPr>
          <w:rFonts w:hint="eastAsia" w:ascii="Arial" w:hAnsi="Arial" w:eastAsia="宋体" w:cs="宋体"/>
          <w:b/>
          <w:bCs/>
          <w:sz w:val="22"/>
          <w:szCs w:val="22"/>
        </w:rPr>
        <w:t>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附件三：合同基本商务条件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附件四：商铺位置示意图、户型平面图</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附件五：交付标准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附件六：食品、餐饮单位食品安全责任书</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附件七：阳光合作协议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附件八：商铺交付确认书</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附件九：开业确认书</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hint="eastAsia" w:ascii="Arial" w:hAnsi="Arial" w:eastAsia="宋体" w:cs="宋体"/>
          <w:b/>
          <w:sz w:val="22"/>
          <w:szCs w:val="22"/>
        </w:rPr>
        <w:sectPr>
          <w:footerReference r:id="rId4"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pPr>
        <w:spacing w:before="120" w:beforeLines="50" w:after="120" w:afterLines="50"/>
        <w:outlineLvl w:val="0"/>
        <w:rPr>
          <w:rFonts w:hint="eastAsia" w:ascii="Arial" w:hAnsi="Arial" w:eastAsia="宋体" w:cs="宋体"/>
          <w:b/>
          <w:sz w:val="22"/>
          <w:szCs w:val="22"/>
        </w:rPr>
        <w:sectPr>
          <w:footerReference r:id="rId5"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pPr>
        <w:spacing w:before="120" w:beforeLines="50" w:after="120" w:afterLines="50"/>
        <w:outlineLvl w:val="0"/>
        <w:rPr>
          <w:rFonts w:hint="eastAsia" w:ascii="Arial" w:hAnsi="Arial" w:eastAsia="宋体" w:cs="宋体"/>
          <w:b/>
          <w:sz w:val="22"/>
          <w:szCs w:val="22"/>
        </w:rPr>
        <w:sectPr>
          <w:footerReference r:id="rId6"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附件三：合同基本商务条件</w:t>
      </w:r>
    </w:p>
    <w:p>
      <w:pPr>
        <w:spacing w:before="120" w:beforeLines="50" w:after="120" w:afterLines="50"/>
        <w:outlineLvl w:val="0"/>
        <w:rPr>
          <w:rFonts w:ascii="Arial" w:hAnsi="Arial" w:eastAsia="宋体" w:cs="宋体"/>
          <w:b/>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商铺</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商铺位于</w:t>
      </w:r>
      <w:r>
        <w:rPr>
          <w:rFonts w:hint="eastAsia" w:ascii="Arial" w:hAnsi="Arial" w:eastAsia="宋体" w:cs="宋体"/>
          <w:sz w:val="22"/>
          <w:szCs w:val="22"/>
        </w:rPr>
        <w:t>中国四川省成都市成华区青龙街道西林社区十、十一组天府国际动漫城</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号楼</w:t>
      </w:r>
      <w:r>
        <w:rPr>
          <w:rFonts w:hint="eastAsia" w:ascii="Arial" w:hAnsi="Arial" w:eastAsia="宋体" w:cs="宋体"/>
          <w:snapToGrid w:val="0"/>
          <w:kern w:val="0"/>
          <w:sz w:val="22"/>
          <w:szCs w:val="22"/>
          <w:u w:val="single"/>
        </w:rPr>
        <w:t xml:space="preserve">     层     号</w:t>
      </w:r>
      <w:r>
        <w:rPr>
          <w:rFonts w:hint="eastAsia" w:ascii="Arial" w:hAnsi="Arial" w:eastAsia="宋体" w:cs="宋体"/>
          <w:snapToGrid w:val="0"/>
          <w:kern w:val="0"/>
          <w:sz w:val="22"/>
          <w:szCs w:val="22"/>
        </w:rPr>
        <w:t>（门牌号）。具体位置示意图详见【附件四】。</w:t>
      </w:r>
    </w:p>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计租面积</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商铺的计租面积：</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㎡，以房屋实测报告载明的实测建筑面积为准。</w:t>
      </w:r>
    </w:p>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交付日与开业日</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2.1交付日：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2.2开业日（即计租日）：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租赁期限</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w:t>
      </w:r>
      <w:r>
        <w:rPr>
          <w:rFonts w:ascii="Arial" w:hAnsi="Arial" w:eastAsia="宋体" w:cs="宋体"/>
          <w:snapToGrid w:val="0"/>
          <w:kern w:val="0"/>
          <w:sz w:val="22"/>
          <w:szCs w:val="22"/>
        </w:rPr>
        <w:t>.1</w:t>
      </w:r>
      <w:r>
        <w:rPr>
          <w:rFonts w:hint="eastAsia" w:ascii="Arial" w:hAnsi="Arial" w:eastAsia="宋体" w:cs="宋体"/>
          <w:snapToGrid w:val="0"/>
          <w:kern w:val="0"/>
          <w:sz w:val="22"/>
          <w:szCs w:val="22"/>
        </w:rPr>
        <w:t>租赁期限：自交付日起共计【】个月。</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3.2装修期：甲方给予乙方整个商铺共计【】天的装修期，自商铺的交付日起算。</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3.3计租期：自开业日（即计租日）起至租赁期限届满之日，共计【】月。</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3.4运营培育期：共计【】月。双方约定：对乙方根据合同约定享有的【】个月的运营培育期的权益，在【】个月内进行分摊并实现，乙方需在分摊期间内，按照权益平均分摊后的租金标准向甲方支付固定租金（分摊期间详见第五条）。</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p>
        </w:tc>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租赁期限</w:t>
            </w:r>
          </w:p>
        </w:tc>
        <w:tc>
          <w:tcPr>
            <w:tcW w:w="3096" w:type="dxa"/>
          </w:tcPr>
          <w:p>
            <w:pPr>
              <w:spacing w:before="120" w:beforeLines="50" w:after="120" w:afterLines="50"/>
              <w:rPr>
                <w:rFonts w:ascii="Arial" w:hAnsi="Arial" w:eastAsia="宋体" w:cs="宋体"/>
                <w:snapToGrid w:val="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装修期</w:t>
            </w:r>
          </w:p>
        </w:tc>
        <w:tc>
          <w:tcPr>
            <w:tcW w:w="3096" w:type="dxa"/>
          </w:tcPr>
          <w:p>
            <w:pPr>
              <w:spacing w:before="120" w:beforeLines="50" w:after="120" w:afterLines="50"/>
              <w:rPr>
                <w:rFonts w:ascii="Arial" w:hAnsi="Arial" w:eastAsia="宋体" w:cs="宋体"/>
                <w:snapToGrid w:val="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计租期</w:t>
            </w:r>
          </w:p>
        </w:tc>
        <w:tc>
          <w:tcPr>
            <w:tcW w:w="3096" w:type="dxa"/>
          </w:tcPr>
          <w:p>
            <w:pPr>
              <w:spacing w:before="120" w:beforeLines="50" w:after="120" w:afterLines="50"/>
              <w:rPr>
                <w:rFonts w:ascii="Arial" w:hAnsi="Arial" w:eastAsia="宋体" w:cs="宋体"/>
                <w:snapToGrid w:val="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运营培育期</w:t>
            </w:r>
          </w:p>
        </w:tc>
        <w:tc>
          <w:tcPr>
            <w:tcW w:w="3096" w:type="dxa"/>
          </w:tcPr>
          <w:p>
            <w:pPr>
              <w:spacing w:before="120" w:beforeLines="50" w:after="120" w:afterLines="50"/>
              <w:rPr>
                <w:rFonts w:ascii="Arial" w:hAnsi="Arial" w:eastAsia="宋体" w:cs="宋体"/>
                <w:snapToGrid w:val="0"/>
                <w:kern w:val="0"/>
                <w:sz w:val="22"/>
                <w:szCs w:val="22"/>
              </w:rPr>
            </w:pPr>
          </w:p>
        </w:tc>
      </w:tr>
    </w:tbl>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租赁用途</w:t>
      </w:r>
    </w:p>
    <w:p>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.1 </w:t>
      </w:r>
      <w:r>
        <w:rPr>
          <w:rFonts w:hint="eastAsia" w:ascii="Arial" w:hAnsi="Arial" w:eastAsia="宋体" w:cs="宋体"/>
          <w:snapToGrid w:val="0"/>
          <w:kern w:val="0"/>
          <w:sz w:val="22"/>
          <w:szCs w:val="22"/>
        </w:rPr>
        <w:t>该商铺的规划用途为</w:t>
      </w:r>
      <w:r>
        <w:rPr>
          <w:rFonts w:hint="eastAsia" w:ascii="Arial" w:hAnsi="Arial" w:eastAsia="宋体" w:cs="宋体"/>
          <w:snapToGrid w:val="0"/>
          <w:kern w:val="0"/>
          <w:sz w:val="22"/>
          <w:szCs w:val="22"/>
          <w:u w:val="single"/>
        </w:rPr>
        <w:t xml:space="preserve">         </w:t>
      </w:r>
    </w:p>
    <w:p>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.2 </w:t>
      </w:r>
      <w:r>
        <w:rPr>
          <w:rFonts w:hint="eastAsia" w:ascii="Arial" w:hAnsi="Arial" w:eastAsia="宋体" w:cs="宋体"/>
          <w:snapToGrid w:val="0"/>
          <w:kern w:val="0"/>
          <w:sz w:val="22"/>
          <w:szCs w:val="22"/>
        </w:rPr>
        <w:t>该商铺的使用用途为</w:t>
      </w:r>
      <w:r>
        <w:rPr>
          <w:rFonts w:hint="eastAsia" w:ascii="Arial" w:hAnsi="Arial" w:eastAsia="宋体" w:cs="宋体"/>
          <w:snapToGrid w:val="0"/>
          <w:kern w:val="0"/>
          <w:sz w:val="22"/>
          <w:szCs w:val="22"/>
          <w:u w:val="single"/>
        </w:rPr>
        <w:t xml:space="preserve">         </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4.3该商铺的营业范围为：</w:t>
      </w:r>
    </w:p>
    <w:p>
      <w:pPr>
        <w:numPr>
          <w:ilvl w:val="0"/>
          <w:numId w:val="7"/>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经营业态：</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pPr>
        <w:numPr>
          <w:ilvl w:val="0"/>
          <w:numId w:val="7"/>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店铺名称：</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租金标准、支付周期</w:t>
      </w:r>
    </w:p>
    <w:tbl>
      <w:tblPr>
        <w:tblStyle w:val="9"/>
        <w:tblW w:w="9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326"/>
        <w:gridCol w:w="1326"/>
        <w:gridCol w:w="1326"/>
        <w:gridCol w:w="1326"/>
        <w:gridCol w:w="1326"/>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计租年度</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计租起止日期</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固定租金单价（元/㎡/月）</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月度固定租金标准（元/月）</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提成租金计提比例</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应支付租金截止时间</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r>
    </w:tbl>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六、</w:t>
      </w:r>
      <w:r>
        <w:rPr>
          <w:rFonts w:ascii="Arial" w:hAnsi="Arial" w:eastAsia="宋体" w:cs="宋体"/>
          <w:b/>
          <w:sz w:val="22"/>
          <w:szCs w:val="22"/>
        </w:rPr>
        <w:t xml:space="preserve"> </w:t>
      </w:r>
      <w:r>
        <w:rPr>
          <w:rFonts w:hint="eastAsia" w:ascii="Arial" w:hAnsi="Arial" w:eastAsia="宋体" w:cs="宋体"/>
          <w:b/>
          <w:sz w:val="22"/>
          <w:szCs w:val="22"/>
        </w:rPr>
        <w:t>履约保证金</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本合同项下，乙方应根据本合同正文约定一次性向甲方支付的履约保证金的总金额为</w:t>
      </w:r>
      <w:r>
        <w:rPr>
          <w:rFonts w:hint="eastAsia" w:ascii="Arial" w:hAnsi="Arial" w:eastAsia="宋体" w:cs="宋体"/>
          <w:b/>
          <w:bCs/>
          <w:snapToGrid w:val="0"/>
          <w:kern w:val="0"/>
          <w:sz w:val="22"/>
          <w:szCs w:val="22"/>
        </w:rPr>
        <w:t>人民币</w:t>
      </w:r>
      <w:r>
        <w:rPr>
          <w:rFonts w:hint="eastAsia" w:ascii="Arial" w:hAnsi="Arial" w:eastAsia="宋体" w:cs="宋体"/>
          <w:snapToGrid w:val="0"/>
          <w:kern w:val="0"/>
          <w:sz w:val="22"/>
          <w:szCs w:val="22"/>
          <w:u w:val="single"/>
        </w:rPr>
        <w:t xml:space="preserve">        </w:t>
      </w:r>
      <w:r>
        <w:rPr>
          <w:rFonts w:hint="eastAsia" w:ascii="Arial" w:hAnsi="Arial" w:eastAsia="宋体" w:cs="宋体"/>
          <w:b/>
          <w:bCs/>
          <w:snapToGrid w:val="0"/>
          <w:kern w:val="0"/>
          <w:sz w:val="22"/>
          <w:szCs w:val="22"/>
        </w:rPr>
        <w:t>元（大写</w:t>
      </w:r>
      <w:r>
        <w:rPr>
          <w:rFonts w:hint="eastAsia" w:ascii="Arial" w:hAnsi="Arial" w:eastAsia="宋体" w:cs="宋体"/>
          <w:snapToGrid w:val="0"/>
          <w:kern w:val="0"/>
          <w:sz w:val="22"/>
          <w:szCs w:val="22"/>
          <w:u w:val="single"/>
        </w:rPr>
        <w:t xml:space="preserve">     </w:t>
      </w:r>
      <w:r>
        <w:rPr>
          <w:rFonts w:hint="eastAsia" w:ascii="Arial" w:hAnsi="Arial" w:eastAsia="宋体" w:cs="宋体"/>
          <w:b/>
          <w:bCs/>
          <w:snapToGrid w:val="0"/>
          <w:kern w:val="0"/>
          <w:sz w:val="22"/>
          <w:szCs w:val="22"/>
        </w:rPr>
        <w:t>元整）</w:t>
      </w:r>
      <w:r>
        <w:rPr>
          <w:rFonts w:hint="eastAsia" w:ascii="Arial" w:hAnsi="Arial" w:eastAsia="宋体" w:cs="宋体"/>
          <w:snapToGrid w:val="0"/>
          <w:kern w:val="0"/>
          <w:sz w:val="22"/>
          <w:szCs w:val="22"/>
        </w:rPr>
        <w:t>。</w:t>
      </w:r>
    </w:p>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七、乙方开票信息</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纳税人识别号：</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开户行：</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银行账号：</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公司地址：</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联系电话：</w:t>
      </w:r>
    </w:p>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八、通知与送达</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甲方的送达地址及相关信息：</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邮编：</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p>
    <w:p>
      <w:pPr>
        <w:spacing w:before="120" w:beforeLines="50" w:after="120" w:afterLines="50"/>
        <w:ind w:left="440"/>
        <w:rPr>
          <w:rFonts w:ascii="Arial" w:hAnsi="Arial" w:eastAsia="宋体" w:cs="宋体"/>
          <w:snapToGrid w:val="0"/>
          <w:kern w:val="0"/>
          <w:sz w:val="22"/>
          <w:szCs w:val="22"/>
        </w:rPr>
      </w:pP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乙方的送达地址及相关信息：</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邮编：</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p>
    <w:p>
      <w:pPr>
        <w:spacing w:before="120" w:beforeLines="50" w:after="120" w:afterLines="50"/>
        <w:ind w:firstLine="440" w:firstLineChars="200"/>
        <w:rPr>
          <w:rFonts w:ascii="Arial" w:hAnsi="Arial" w:eastAsia="宋体" w:cs="宋体"/>
          <w:snapToGrid w:val="0"/>
          <w:kern w:val="0"/>
          <w:sz w:val="22"/>
          <w:szCs w:val="22"/>
        </w:rPr>
      </w:pPr>
    </w:p>
    <w:p>
      <w:pPr>
        <w:spacing w:before="120" w:beforeLines="50" w:after="120" w:afterLines="50"/>
        <w:outlineLvl w:val="0"/>
        <w:rPr>
          <w:rFonts w:hint="eastAsia" w:ascii="Arial" w:hAnsi="Arial" w:eastAsia="宋体" w:cs="宋体"/>
          <w:b/>
          <w:sz w:val="22"/>
          <w:szCs w:val="22"/>
        </w:rPr>
        <w:sectPr>
          <w:footerReference r:id="rId7"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附件四：商铺位置示意图、户型平面图（只作位置识别使用）</w:t>
      </w: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sz w:val="22"/>
          <w:szCs w:val="22"/>
        </w:rPr>
        <w:t>《商铺位置示意图》</w:t>
      </w: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sz w:val="22"/>
          <w:szCs w:val="22"/>
        </w:rPr>
        <w:t>《户型平面图》</w:t>
      </w:r>
    </w:p>
    <w:p>
      <w:pPr>
        <w:spacing w:before="120" w:beforeLines="50" w:after="120" w:afterLines="50"/>
        <w:rPr>
          <w:rFonts w:hint="eastAsia" w:ascii="Arial" w:hAnsi="Arial" w:eastAsia="宋体" w:cs="宋体"/>
          <w:b/>
          <w:snapToGrid w:val="0"/>
          <w:kern w:val="0"/>
          <w:sz w:val="22"/>
          <w:szCs w:val="22"/>
        </w:rPr>
        <w:sectPr>
          <w:footerReference r:id="rId8" w:type="default"/>
          <w:pgSz w:w="11906" w:h="16838"/>
          <w:pgMar w:top="1440" w:right="1417" w:bottom="1440" w:left="1417" w:header="708" w:footer="709" w:gutter="0"/>
          <w:pgNumType w:start="1"/>
          <w:cols w:space="720" w:num="1"/>
          <w:docGrid w:linePitch="360" w:charSpace="0"/>
        </w:sectPr>
      </w:pP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t>附件五：交付标准</w:t>
      </w:r>
    </w:p>
    <w:p>
      <w:pPr>
        <w:spacing w:before="120" w:beforeLines="50" w:after="120" w:afterLines="50"/>
        <w:rPr>
          <w:rFonts w:hint="eastAsia" w:ascii="Arial" w:hAnsi="Arial" w:eastAsia="宋体" w:cs="宋体"/>
          <w:b/>
          <w:snapToGrid w:val="0"/>
          <w:kern w:val="0"/>
          <w:sz w:val="22"/>
          <w:szCs w:val="22"/>
        </w:rPr>
        <w:sectPr>
          <w:footerReference r:id="rId9" w:type="default"/>
          <w:pgSz w:w="11906" w:h="16838"/>
          <w:pgMar w:top="1440" w:right="1417" w:bottom="1440" w:left="1417" w:header="708" w:footer="709" w:gutter="0"/>
          <w:pgNumType w:start="1"/>
          <w:cols w:space="720" w:num="1"/>
          <w:docGrid w:linePitch="360" w:charSpace="0"/>
        </w:sectPr>
      </w:pPr>
    </w:p>
    <w:p>
      <w:pPr>
        <w:spacing w:before="120" w:beforeLines="50" w:after="120" w:afterLines="50"/>
        <w:rPr>
          <w:rFonts w:ascii="Arial" w:hAnsi="Arial" w:eastAsia="宋体" w:cs="宋体"/>
          <w:snapToGrid w:val="0"/>
          <w:kern w:val="0"/>
          <w:sz w:val="22"/>
          <w:szCs w:val="22"/>
        </w:rPr>
      </w:pPr>
      <w:r>
        <w:rPr>
          <w:rFonts w:hint="eastAsia" w:ascii="Arial" w:hAnsi="Arial" w:eastAsia="宋体" w:cs="宋体"/>
          <w:b/>
          <w:snapToGrid w:val="0"/>
          <w:kern w:val="0"/>
          <w:sz w:val="22"/>
          <w:szCs w:val="22"/>
        </w:rPr>
        <w:t>附件六：</w:t>
      </w:r>
      <w:r>
        <w:rPr>
          <w:rFonts w:hint="eastAsia" w:ascii="Arial" w:hAnsi="Arial" w:eastAsia="宋体" w:cs="宋体"/>
          <w:b/>
          <w:bCs/>
          <w:snapToGrid w:val="0"/>
          <w:kern w:val="0"/>
          <w:sz w:val="22"/>
          <w:szCs w:val="22"/>
        </w:rPr>
        <w:t>食品、餐饮单位食品安全责任书</w:t>
      </w:r>
    </w:p>
    <w:p>
      <w:pPr>
        <w:ind w:firstLine="392" w:firstLineChars="200"/>
        <w:rPr>
          <w:rFonts w:cs="宋体"/>
          <w:spacing w:val="-2"/>
          <w:sz w:val="20"/>
          <w:szCs w:val="20"/>
        </w:rPr>
      </w:pPr>
    </w:p>
    <w:p>
      <w:pPr>
        <w:ind w:firstLine="392" w:firstLineChars="200"/>
        <w:rPr>
          <w:rFonts w:cs="宋体"/>
          <w:spacing w:val="-2"/>
          <w:sz w:val="20"/>
          <w:szCs w:val="20"/>
          <w:u w:val="single"/>
        </w:rPr>
      </w:pPr>
      <w:r>
        <w:rPr>
          <w:rFonts w:hint="eastAsia" w:cs="宋体"/>
          <w:spacing w:val="-2"/>
          <w:sz w:val="20"/>
          <w:szCs w:val="20"/>
        </w:rPr>
        <w:t>入驻商家：</w:t>
      </w:r>
      <w:r>
        <w:rPr>
          <w:rFonts w:hint="eastAsia" w:cs="宋体"/>
          <w:spacing w:val="-2"/>
          <w:sz w:val="20"/>
          <w:szCs w:val="20"/>
          <w:u w:val="single"/>
        </w:rPr>
        <w:t xml:space="preserve"> </w:t>
      </w:r>
      <w:r>
        <w:rPr>
          <w:rFonts w:cs="宋体"/>
          <w:spacing w:val="-2"/>
          <w:sz w:val="20"/>
          <w:szCs w:val="20"/>
          <w:u w:val="single"/>
        </w:rPr>
        <w:t xml:space="preserve">                           </w:t>
      </w:r>
      <w:r>
        <w:rPr>
          <w:rFonts w:hint="eastAsia" w:cs="宋体"/>
          <w:spacing w:val="-2"/>
          <w:sz w:val="20"/>
          <w:szCs w:val="20"/>
        </w:rPr>
        <w:t>（即本合同“</w:t>
      </w:r>
      <w:r>
        <w:rPr>
          <w:rFonts w:hint="eastAsia" w:cs="宋体"/>
          <w:b/>
          <w:bCs/>
          <w:spacing w:val="-2"/>
          <w:sz w:val="20"/>
          <w:szCs w:val="20"/>
        </w:rPr>
        <w:t>乙方</w:t>
      </w:r>
      <w:r>
        <w:rPr>
          <w:rFonts w:hint="eastAsia" w:cs="宋体"/>
          <w:spacing w:val="-2"/>
          <w:sz w:val="20"/>
          <w:szCs w:val="20"/>
        </w:rPr>
        <w:t>”）</w:t>
      </w:r>
    </w:p>
    <w:p>
      <w:pPr>
        <w:ind w:firstLine="392" w:firstLineChars="200"/>
        <w:rPr>
          <w:rFonts w:cs="宋体"/>
          <w:spacing w:val="-2"/>
          <w:sz w:val="20"/>
          <w:szCs w:val="20"/>
          <w:u w:val="single"/>
        </w:rPr>
      </w:pPr>
    </w:p>
    <w:p>
      <w:pPr>
        <w:ind w:firstLine="392" w:firstLineChars="200"/>
        <w:rPr>
          <w:spacing w:val="-2"/>
          <w:sz w:val="20"/>
          <w:szCs w:val="20"/>
        </w:rPr>
      </w:pPr>
      <w:r>
        <w:rPr>
          <w:rFonts w:hint="eastAsia" w:cs="宋体"/>
          <w:spacing w:val="-2"/>
          <w:sz w:val="20"/>
          <w:szCs w:val="20"/>
        </w:rPr>
        <w:t>（一）乙方应当依照法律、法规和食品安全标准从事生产经营活动，对社会和公众负责，保证食品安全，保障公众身体健康和生命安全，接受社会监督，承担社会责任。</w:t>
      </w:r>
    </w:p>
    <w:p>
      <w:pPr>
        <w:ind w:firstLine="400" w:firstLineChars="200"/>
        <w:rPr>
          <w:sz w:val="20"/>
          <w:szCs w:val="20"/>
        </w:rPr>
      </w:pPr>
      <w:r>
        <w:rPr>
          <w:rFonts w:hint="eastAsia" w:cs="宋体"/>
          <w:sz w:val="20"/>
          <w:szCs w:val="20"/>
        </w:rPr>
        <w:t>（二）乙方应当建立健全本单位的食品安全管理制度，加强对职工食品安全知识的培训，配备专职或者兼职食品安全管理人员，做好对所生产经营食品的检验工作，依法从事食品生产经营活动。</w:t>
      </w:r>
    </w:p>
    <w:p>
      <w:pPr>
        <w:ind w:firstLine="400" w:firstLineChars="200"/>
        <w:rPr>
          <w:sz w:val="20"/>
          <w:szCs w:val="20"/>
        </w:rPr>
      </w:pPr>
      <w:r>
        <w:rPr>
          <w:rFonts w:hint="eastAsia" w:cs="宋体"/>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pPr>
        <w:ind w:firstLine="400" w:firstLineChars="200"/>
        <w:rPr>
          <w:sz w:val="20"/>
          <w:szCs w:val="20"/>
        </w:rPr>
      </w:pPr>
      <w:r>
        <w:rPr>
          <w:rFonts w:hint="eastAsia" w:cs="宋体"/>
          <w:sz w:val="20"/>
          <w:szCs w:val="20"/>
        </w:rPr>
        <w:t>（四）乙方生产经营应当符合食品安全标准，并符合下列要求：</w:t>
      </w:r>
    </w:p>
    <w:p>
      <w:pPr>
        <w:ind w:firstLine="388" w:firstLineChars="200"/>
        <w:rPr>
          <w:spacing w:val="-3"/>
          <w:sz w:val="20"/>
          <w:szCs w:val="20"/>
        </w:rPr>
      </w:pPr>
      <w:r>
        <w:rPr>
          <w:spacing w:val="-3"/>
          <w:sz w:val="20"/>
          <w:szCs w:val="20"/>
        </w:rPr>
        <w:t>1</w:t>
      </w:r>
      <w:r>
        <w:rPr>
          <w:rFonts w:hint="eastAsia"/>
          <w:spacing w:val="-3"/>
          <w:sz w:val="20"/>
          <w:szCs w:val="20"/>
        </w:rPr>
        <w:t>、</w:t>
      </w:r>
      <w:r>
        <w:rPr>
          <w:rFonts w:hint="eastAsia" w:cs="宋体"/>
          <w:spacing w:val="-3"/>
          <w:sz w:val="20"/>
          <w:szCs w:val="20"/>
        </w:rPr>
        <w:t>具有与生产经营的食品品种、数量相适应的食品原料处理和食品加工、包装、贮存等场所，保持该场所环境整洁，并与有毒、有害场所以及其他污染源保持规定的距离；</w:t>
      </w:r>
    </w:p>
    <w:p>
      <w:pPr>
        <w:ind w:firstLine="400" w:firstLineChars="200"/>
        <w:rPr>
          <w:sz w:val="20"/>
          <w:szCs w:val="20"/>
        </w:rPr>
      </w:pPr>
      <w:r>
        <w:rPr>
          <w:sz w:val="20"/>
          <w:szCs w:val="20"/>
        </w:rPr>
        <w:t>2</w:t>
      </w:r>
      <w:r>
        <w:rPr>
          <w:rFonts w:hint="eastAsia"/>
          <w:sz w:val="20"/>
          <w:szCs w:val="20"/>
        </w:rPr>
        <w:t>、</w:t>
      </w:r>
      <w:r>
        <w:rPr>
          <w:rFonts w:hint="eastAsia" w:cs="宋体"/>
          <w:sz w:val="20"/>
          <w:szCs w:val="20"/>
        </w:rPr>
        <w:t>具有与生产经营的食品品种、数量相适应的生产经营设备或者设施，有相应的消毒、更衣、盥洗、采光、照明、通风、防腐、防尘、防蝇、防鼠、防虫、洗涤以及处理废水、存放垃圾和废弃物的设备或者设施；</w:t>
      </w:r>
    </w:p>
    <w:p>
      <w:pPr>
        <w:ind w:firstLine="400" w:firstLineChars="200"/>
        <w:rPr>
          <w:sz w:val="20"/>
          <w:szCs w:val="20"/>
        </w:rPr>
      </w:pPr>
      <w:r>
        <w:rPr>
          <w:sz w:val="20"/>
          <w:szCs w:val="20"/>
        </w:rPr>
        <w:t>3</w:t>
      </w:r>
      <w:r>
        <w:rPr>
          <w:rFonts w:hint="eastAsia"/>
          <w:sz w:val="20"/>
          <w:szCs w:val="20"/>
        </w:rPr>
        <w:t>、</w:t>
      </w:r>
      <w:r>
        <w:rPr>
          <w:rFonts w:hint="eastAsia" w:cs="宋体"/>
          <w:sz w:val="20"/>
          <w:szCs w:val="20"/>
        </w:rPr>
        <w:t>有食品安全专业技术人员、管理人员和保证食品安全的规章制度；</w:t>
      </w:r>
    </w:p>
    <w:p>
      <w:pPr>
        <w:ind w:firstLine="400" w:firstLineChars="200"/>
        <w:rPr>
          <w:sz w:val="20"/>
          <w:szCs w:val="20"/>
        </w:rPr>
      </w:pPr>
      <w:r>
        <w:rPr>
          <w:sz w:val="20"/>
          <w:szCs w:val="20"/>
        </w:rPr>
        <w:t>4</w:t>
      </w:r>
      <w:r>
        <w:rPr>
          <w:rFonts w:hint="eastAsia"/>
          <w:sz w:val="20"/>
          <w:szCs w:val="20"/>
        </w:rPr>
        <w:t>、</w:t>
      </w:r>
      <w:r>
        <w:rPr>
          <w:rFonts w:hint="eastAsia" w:cs="宋体"/>
          <w:sz w:val="20"/>
          <w:szCs w:val="20"/>
        </w:rPr>
        <w:t>具有合理的设备布局和工艺流程，防止待加工食品与直接入口食品、原料与成品交叉污染，避免食品接触有毒物、不洁物；</w:t>
      </w:r>
    </w:p>
    <w:p>
      <w:pPr>
        <w:ind w:firstLine="400" w:firstLineChars="200"/>
        <w:rPr>
          <w:sz w:val="20"/>
          <w:szCs w:val="20"/>
        </w:rPr>
      </w:pPr>
      <w:r>
        <w:rPr>
          <w:sz w:val="20"/>
          <w:szCs w:val="20"/>
        </w:rPr>
        <w:t>5</w:t>
      </w:r>
      <w:r>
        <w:rPr>
          <w:rFonts w:hint="eastAsia"/>
          <w:sz w:val="20"/>
          <w:szCs w:val="20"/>
        </w:rPr>
        <w:t>、</w:t>
      </w:r>
      <w:r>
        <w:rPr>
          <w:rFonts w:hint="eastAsia" w:cs="宋体"/>
          <w:sz w:val="20"/>
          <w:szCs w:val="20"/>
        </w:rPr>
        <w:t>餐具、饮具和盛放直接入口食品的容器，使用前应当洗净、消毒，炊具、用具用后应当洗净，保持清洁；</w:t>
      </w:r>
    </w:p>
    <w:p>
      <w:pPr>
        <w:ind w:firstLine="400" w:firstLineChars="200"/>
        <w:rPr>
          <w:sz w:val="20"/>
          <w:szCs w:val="20"/>
        </w:rPr>
      </w:pPr>
      <w:r>
        <w:rPr>
          <w:sz w:val="20"/>
          <w:szCs w:val="20"/>
        </w:rPr>
        <w:t>6</w:t>
      </w:r>
      <w:r>
        <w:rPr>
          <w:rFonts w:hint="eastAsia"/>
          <w:sz w:val="20"/>
          <w:szCs w:val="20"/>
        </w:rPr>
        <w:t>、</w:t>
      </w:r>
      <w:r>
        <w:rPr>
          <w:rFonts w:hint="eastAsia" w:cs="宋体"/>
          <w:sz w:val="20"/>
          <w:szCs w:val="20"/>
        </w:rPr>
        <w:t>贮存、运输和装卸食品的容器、工具和设备应当安全、无害，保持清洁，防止食品污染，并符合保证食品安全所需的温度等特殊要求，不得将食品与有毒、有害物品一同运输；</w:t>
      </w:r>
    </w:p>
    <w:p>
      <w:pPr>
        <w:ind w:firstLine="400" w:firstLineChars="200"/>
        <w:rPr>
          <w:sz w:val="20"/>
          <w:szCs w:val="20"/>
        </w:rPr>
      </w:pPr>
      <w:r>
        <w:rPr>
          <w:sz w:val="20"/>
          <w:szCs w:val="20"/>
        </w:rPr>
        <w:t>7</w:t>
      </w:r>
      <w:r>
        <w:rPr>
          <w:rFonts w:hint="eastAsia"/>
          <w:sz w:val="20"/>
          <w:szCs w:val="20"/>
        </w:rPr>
        <w:t>、</w:t>
      </w:r>
      <w:r>
        <w:rPr>
          <w:rFonts w:hint="eastAsia" w:cs="宋体"/>
          <w:sz w:val="20"/>
          <w:szCs w:val="20"/>
        </w:rPr>
        <w:t>直接入口的食品应当有小包装或者使用无毒、清洁的包装材料、餐具；</w:t>
      </w:r>
    </w:p>
    <w:p>
      <w:pPr>
        <w:ind w:firstLine="400" w:firstLineChars="200"/>
        <w:rPr>
          <w:sz w:val="20"/>
          <w:szCs w:val="20"/>
        </w:rPr>
      </w:pPr>
      <w:r>
        <w:rPr>
          <w:sz w:val="20"/>
          <w:szCs w:val="20"/>
        </w:rPr>
        <w:t>8</w:t>
      </w:r>
      <w:r>
        <w:rPr>
          <w:rFonts w:hint="eastAsia"/>
          <w:sz w:val="20"/>
          <w:szCs w:val="20"/>
        </w:rPr>
        <w:t>、</w:t>
      </w:r>
      <w:r>
        <w:rPr>
          <w:rFonts w:hint="eastAsia" w:cs="宋体"/>
          <w:sz w:val="20"/>
          <w:szCs w:val="20"/>
        </w:rPr>
        <w:t>食品生产经营人员应当保持个人卫生，生产经营食品时，应当将手洗净，穿戴清洁的工作衣、帽；销售无包装的直接入口食品时，应当使用无毒、清洁的售货工具；</w:t>
      </w:r>
    </w:p>
    <w:p>
      <w:pPr>
        <w:ind w:firstLine="400" w:firstLineChars="200"/>
        <w:rPr>
          <w:sz w:val="20"/>
          <w:szCs w:val="20"/>
        </w:rPr>
      </w:pPr>
      <w:r>
        <w:rPr>
          <w:sz w:val="20"/>
          <w:szCs w:val="20"/>
        </w:rPr>
        <w:t>9</w:t>
      </w:r>
      <w:r>
        <w:rPr>
          <w:rFonts w:hint="eastAsia"/>
          <w:sz w:val="20"/>
          <w:szCs w:val="20"/>
        </w:rPr>
        <w:t>、</w:t>
      </w:r>
      <w:r>
        <w:rPr>
          <w:rFonts w:hint="eastAsia" w:cs="宋体"/>
          <w:sz w:val="20"/>
          <w:szCs w:val="20"/>
        </w:rPr>
        <w:t>用水应当符合国家规定的生活饮用水卫生标准；</w:t>
      </w:r>
    </w:p>
    <w:p>
      <w:pPr>
        <w:ind w:firstLine="400" w:firstLineChars="200"/>
        <w:rPr>
          <w:sz w:val="20"/>
          <w:szCs w:val="20"/>
        </w:rPr>
      </w:pPr>
      <w:r>
        <w:rPr>
          <w:sz w:val="20"/>
          <w:szCs w:val="20"/>
        </w:rPr>
        <w:t>10</w:t>
      </w:r>
      <w:r>
        <w:rPr>
          <w:rFonts w:hint="eastAsia"/>
          <w:sz w:val="20"/>
          <w:szCs w:val="20"/>
        </w:rPr>
        <w:t>、</w:t>
      </w:r>
      <w:r>
        <w:rPr>
          <w:rFonts w:hint="eastAsia" w:cs="宋体"/>
          <w:sz w:val="20"/>
          <w:szCs w:val="20"/>
        </w:rPr>
        <w:t>使用的洗涤剂、消毒剂应当对人体安全、无害；</w:t>
      </w:r>
    </w:p>
    <w:p>
      <w:pPr>
        <w:ind w:firstLine="400" w:firstLineChars="200"/>
        <w:rPr>
          <w:sz w:val="20"/>
          <w:szCs w:val="20"/>
        </w:rPr>
      </w:pPr>
      <w:r>
        <w:rPr>
          <w:sz w:val="20"/>
          <w:szCs w:val="20"/>
        </w:rPr>
        <w:t>11</w:t>
      </w:r>
      <w:r>
        <w:rPr>
          <w:rFonts w:hint="eastAsia"/>
          <w:sz w:val="20"/>
          <w:szCs w:val="20"/>
        </w:rPr>
        <w:t>、</w:t>
      </w:r>
      <w:r>
        <w:rPr>
          <w:rFonts w:hint="eastAsia" w:cs="宋体"/>
          <w:sz w:val="20"/>
          <w:szCs w:val="20"/>
        </w:rPr>
        <w:t>法律、法规规定的其他要求。</w:t>
      </w:r>
    </w:p>
    <w:p>
      <w:pPr>
        <w:ind w:firstLine="400" w:firstLineChars="200"/>
        <w:rPr>
          <w:sz w:val="20"/>
          <w:szCs w:val="20"/>
        </w:rPr>
      </w:pPr>
      <w:r>
        <w:rPr>
          <w:rFonts w:hint="eastAsia" w:cs="宋体"/>
          <w:sz w:val="20"/>
          <w:szCs w:val="20"/>
        </w:rPr>
        <w:t>（五）禁止乙方生产经营以下产品：</w:t>
      </w:r>
    </w:p>
    <w:p>
      <w:pPr>
        <w:ind w:firstLine="400" w:firstLineChars="200"/>
        <w:rPr>
          <w:sz w:val="20"/>
          <w:szCs w:val="20"/>
        </w:rPr>
      </w:pPr>
      <w:r>
        <w:rPr>
          <w:sz w:val="20"/>
          <w:szCs w:val="20"/>
        </w:rPr>
        <w:t>1</w:t>
      </w:r>
      <w:r>
        <w:rPr>
          <w:rFonts w:hint="eastAsia"/>
          <w:sz w:val="20"/>
          <w:szCs w:val="20"/>
        </w:rPr>
        <w:t>、</w:t>
      </w:r>
      <w:r>
        <w:rPr>
          <w:rFonts w:hint="eastAsia" w:cs="宋体"/>
          <w:sz w:val="20"/>
          <w:szCs w:val="20"/>
        </w:rPr>
        <w:t>用非食品原料生产的食品或者添加食品添加剂以外的化学物质和其他可能危害人体健康物质的食品，或者用回收食品作为原料生产的食品；</w:t>
      </w:r>
    </w:p>
    <w:p>
      <w:pPr>
        <w:ind w:firstLine="400" w:firstLineChars="200"/>
        <w:rPr>
          <w:sz w:val="20"/>
          <w:szCs w:val="20"/>
        </w:rPr>
      </w:pPr>
      <w:r>
        <w:rPr>
          <w:sz w:val="20"/>
          <w:szCs w:val="20"/>
        </w:rPr>
        <w:t>2</w:t>
      </w:r>
      <w:r>
        <w:rPr>
          <w:rFonts w:hint="eastAsia"/>
          <w:sz w:val="20"/>
          <w:szCs w:val="20"/>
        </w:rPr>
        <w:t>、</w:t>
      </w:r>
      <w:r>
        <w:rPr>
          <w:rFonts w:hint="eastAsia" w:cs="宋体"/>
          <w:sz w:val="20"/>
          <w:szCs w:val="20"/>
        </w:rPr>
        <w:t>致病性微生物、农药残留、兽药残留、重金属、污染物质以及其他危害人体健康的物质含量超过食品安全标准限量的食品；</w:t>
      </w:r>
    </w:p>
    <w:p>
      <w:pPr>
        <w:ind w:firstLine="400" w:firstLineChars="200"/>
        <w:rPr>
          <w:sz w:val="20"/>
          <w:szCs w:val="20"/>
        </w:rPr>
      </w:pPr>
      <w:r>
        <w:rPr>
          <w:sz w:val="20"/>
          <w:szCs w:val="20"/>
        </w:rPr>
        <w:t>3</w:t>
      </w:r>
      <w:r>
        <w:rPr>
          <w:rFonts w:hint="eastAsia"/>
          <w:sz w:val="20"/>
          <w:szCs w:val="20"/>
        </w:rPr>
        <w:t>、</w:t>
      </w:r>
      <w:r>
        <w:rPr>
          <w:rFonts w:hint="eastAsia" w:cs="宋体"/>
          <w:sz w:val="20"/>
          <w:szCs w:val="20"/>
        </w:rPr>
        <w:t>营养成分不符合食品安全标准的专供婴幼儿和其他特定人群的主辅食品；</w:t>
      </w:r>
    </w:p>
    <w:p>
      <w:pPr>
        <w:ind w:firstLine="400" w:firstLineChars="200"/>
        <w:rPr>
          <w:sz w:val="20"/>
          <w:szCs w:val="20"/>
        </w:rPr>
      </w:pPr>
      <w:r>
        <w:rPr>
          <w:sz w:val="20"/>
          <w:szCs w:val="20"/>
        </w:rPr>
        <w:t>4</w:t>
      </w:r>
      <w:r>
        <w:rPr>
          <w:rFonts w:hint="eastAsia"/>
          <w:sz w:val="20"/>
          <w:szCs w:val="20"/>
        </w:rPr>
        <w:t>、</w:t>
      </w:r>
      <w:r>
        <w:rPr>
          <w:rFonts w:hint="eastAsia" w:cs="宋体"/>
          <w:sz w:val="20"/>
          <w:szCs w:val="20"/>
        </w:rPr>
        <w:t>腐败变质、油脂酸败、霉变生虫、污秽不洁、混有异物、掺假掺杂或者感官性状异常的食品；</w:t>
      </w:r>
    </w:p>
    <w:p>
      <w:pPr>
        <w:ind w:firstLine="400" w:firstLineChars="200"/>
        <w:rPr>
          <w:sz w:val="20"/>
          <w:szCs w:val="20"/>
        </w:rPr>
      </w:pPr>
      <w:r>
        <w:rPr>
          <w:sz w:val="20"/>
          <w:szCs w:val="20"/>
        </w:rPr>
        <w:t>5</w:t>
      </w:r>
      <w:r>
        <w:rPr>
          <w:rFonts w:hint="eastAsia"/>
          <w:sz w:val="20"/>
          <w:szCs w:val="20"/>
        </w:rPr>
        <w:t>、</w:t>
      </w:r>
      <w:r>
        <w:rPr>
          <w:rFonts w:hint="eastAsia" w:cs="宋体"/>
          <w:sz w:val="20"/>
          <w:szCs w:val="20"/>
        </w:rPr>
        <w:t>病死、毒死或者死因不明的禽、畜、兽、水产动物肉类及其制品；</w:t>
      </w:r>
    </w:p>
    <w:p>
      <w:pPr>
        <w:ind w:firstLine="400" w:firstLineChars="200"/>
        <w:rPr>
          <w:sz w:val="20"/>
          <w:szCs w:val="20"/>
        </w:rPr>
      </w:pPr>
      <w:r>
        <w:rPr>
          <w:sz w:val="20"/>
          <w:szCs w:val="20"/>
        </w:rPr>
        <w:t>6</w:t>
      </w:r>
      <w:r>
        <w:rPr>
          <w:rFonts w:hint="eastAsia"/>
          <w:sz w:val="20"/>
          <w:szCs w:val="20"/>
        </w:rPr>
        <w:t>、</w:t>
      </w:r>
      <w:r>
        <w:rPr>
          <w:rFonts w:hint="eastAsia" w:cs="宋体"/>
          <w:sz w:val="20"/>
          <w:szCs w:val="20"/>
        </w:rPr>
        <w:t>未经动物卫生监督机构检疫或者检疫不合格的肉类，或者未经检验或者检验不合格的肉类制品；</w:t>
      </w:r>
    </w:p>
    <w:p>
      <w:pPr>
        <w:ind w:firstLine="400" w:firstLineChars="200"/>
        <w:rPr>
          <w:sz w:val="20"/>
          <w:szCs w:val="20"/>
        </w:rPr>
      </w:pPr>
      <w:r>
        <w:rPr>
          <w:sz w:val="20"/>
          <w:szCs w:val="20"/>
        </w:rPr>
        <w:t>7</w:t>
      </w:r>
      <w:r>
        <w:rPr>
          <w:rFonts w:hint="eastAsia"/>
          <w:sz w:val="20"/>
          <w:szCs w:val="20"/>
        </w:rPr>
        <w:t>、</w:t>
      </w:r>
      <w:r>
        <w:rPr>
          <w:rFonts w:hint="eastAsia" w:cs="宋体"/>
          <w:sz w:val="20"/>
          <w:szCs w:val="20"/>
        </w:rPr>
        <w:t>被包装材料、容器、运输工具等污染的食品；</w:t>
      </w:r>
    </w:p>
    <w:p>
      <w:pPr>
        <w:ind w:firstLine="400" w:firstLineChars="200"/>
        <w:rPr>
          <w:sz w:val="20"/>
          <w:szCs w:val="20"/>
        </w:rPr>
      </w:pPr>
      <w:r>
        <w:rPr>
          <w:sz w:val="20"/>
          <w:szCs w:val="20"/>
        </w:rPr>
        <w:t>8</w:t>
      </w:r>
      <w:r>
        <w:rPr>
          <w:rFonts w:hint="eastAsia"/>
          <w:sz w:val="20"/>
          <w:szCs w:val="20"/>
        </w:rPr>
        <w:t>、</w:t>
      </w:r>
      <w:r>
        <w:rPr>
          <w:rFonts w:hint="eastAsia" w:cs="宋体"/>
          <w:sz w:val="20"/>
          <w:szCs w:val="20"/>
        </w:rPr>
        <w:t>超过保质期的食品；</w:t>
      </w:r>
    </w:p>
    <w:p>
      <w:pPr>
        <w:ind w:firstLine="400" w:firstLineChars="200"/>
        <w:rPr>
          <w:sz w:val="20"/>
          <w:szCs w:val="20"/>
        </w:rPr>
      </w:pPr>
      <w:r>
        <w:rPr>
          <w:sz w:val="20"/>
          <w:szCs w:val="20"/>
        </w:rPr>
        <w:t>9</w:t>
      </w:r>
      <w:r>
        <w:rPr>
          <w:rFonts w:hint="eastAsia"/>
          <w:sz w:val="20"/>
          <w:szCs w:val="20"/>
        </w:rPr>
        <w:t>、</w:t>
      </w:r>
      <w:r>
        <w:rPr>
          <w:rFonts w:hint="eastAsia" w:cs="宋体"/>
          <w:sz w:val="20"/>
          <w:szCs w:val="20"/>
        </w:rPr>
        <w:t>无标签的预包装食品；</w:t>
      </w:r>
    </w:p>
    <w:p>
      <w:pPr>
        <w:ind w:firstLine="400" w:firstLineChars="200"/>
        <w:rPr>
          <w:sz w:val="20"/>
          <w:szCs w:val="20"/>
        </w:rPr>
      </w:pPr>
      <w:r>
        <w:rPr>
          <w:sz w:val="20"/>
          <w:szCs w:val="20"/>
        </w:rPr>
        <w:t>10</w:t>
      </w:r>
      <w:r>
        <w:rPr>
          <w:rFonts w:hint="eastAsia"/>
          <w:sz w:val="20"/>
          <w:szCs w:val="20"/>
        </w:rPr>
        <w:t>、</w:t>
      </w:r>
      <w:r>
        <w:rPr>
          <w:rFonts w:hint="eastAsia" w:cs="宋体"/>
          <w:sz w:val="20"/>
          <w:szCs w:val="20"/>
        </w:rPr>
        <w:t>国家为防病等特殊需要明令禁止生产经营的食品；</w:t>
      </w:r>
    </w:p>
    <w:p>
      <w:pPr>
        <w:ind w:firstLine="400" w:firstLineChars="200"/>
        <w:rPr>
          <w:sz w:val="20"/>
          <w:szCs w:val="20"/>
        </w:rPr>
      </w:pPr>
      <w:r>
        <w:rPr>
          <w:sz w:val="20"/>
          <w:szCs w:val="20"/>
        </w:rPr>
        <w:t>11</w:t>
      </w:r>
      <w:r>
        <w:rPr>
          <w:rFonts w:hint="eastAsia"/>
          <w:sz w:val="20"/>
          <w:szCs w:val="20"/>
        </w:rPr>
        <w:t>、</w:t>
      </w:r>
      <w:r>
        <w:rPr>
          <w:rFonts w:hint="eastAsia" w:cs="宋体"/>
          <w:sz w:val="20"/>
          <w:szCs w:val="20"/>
        </w:rPr>
        <w:t>其他不符合食品安全标准或者要求的食品。</w:t>
      </w:r>
    </w:p>
    <w:p>
      <w:pPr>
        <w:ind w:firstLine="400" w:firstLineChars="200"/>
        <w:rPr>
          <w:sz w:val="20"/>
          <w:szCs w:val="20"/>
        </w:rPr>
      </w:pPr>
      <w:r>
        <w:rPr>
          <w:rFonts w:hint="eastAsia" w:cs="宋体"/>
          <w:sz w:val="20"/>
          <w:szCs w:val="20"/>
        </w:rPr>
        <w:t>（六）对乙方食品采购、贮存、检验的要求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pPr>
        <w:ind w:firstLine="400" w:firstLineChars="200"/>
        <w:rPr>
          <w:sz w:val="20"/>
          <w:szCs w:val="20"/>
        </w:rPr>
      </w:pPr>
      <w:r>
        <w:rPr>
          <w:sz w:val="20"/>
          <w:szCs w:val="20"/>
        </w:rPr>
        <w:t>2</w:t>
      </w:r>
      <w:r>
        <w:rPr>
          <w:rFonts w:hint="eastAsia"/>
          <w:sz w:val="20"/>
          <w:szCs w:val="20"/>
        </w:rPr>
        <w:t>、</w:t>
      </w:r>
      <w:r>
        <w:rPr>
          <w:rFonts w:hint="eastAsia" w:cs="宋体"/>
          <w:sz w:val="20"/>
          <w:szCs w:val="20"/>
        </w:rPr>
        <w:t>乙方应建立食品进货查验记录制度，如实记录食品原料、食品添加剂、食品相关产品的名称、规格、数量、供货者名称及联系方式、进货日期等内容。食品进货查验记录应当真实，保存期限不得少于二年。</w:t>
      </w:r>
    </w:p>
    <w:p>
      <w:pPr>
        <w:ind w:firstLine="400" w:firstLineChars="200"/>
        <w:rPr>
          <w:sz w:val="20"/>
          <w:szCs w:val="20"/>
        </w:rPr>
      </w:pPr>
      <w:r>
        <w:rPr>
          <w:sz w:val="20"/>
          <w:szCs w:val="20"/>
        </w:rPr>
        <w:t>3</w:t>
      </w:r>
      <w:r>
        <w:rPr>
          <w:rFonts w:hint="eastAsia"/>
          <w:sz w:val="20"/>
          <w:szCs w:val="20"/>
        </w:rPr>
        <w:t>、</w:t>
      </w:r>
      <w:r>
        <w:rPr>
          <w:rFonts w:hint="eastAsia" w:cs="宋体"/>
          <w:sz w:val="20"/>
          <w:szCs w:val="20"/>
        </w:rPr>
        <w:t>乙方应当按照保证食品安全的要求贮存食品，定期检查库存食品，及时清理变质或者超过保质期的食品。</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pPr>
        <w:ind w:firstLine="400" w:firstLineChars="200"/>
        <w:rPr>
          <w:sz w:val="20"/>
          <w:szCs w:val="20"/>
        </w:rPr>
      </w:pPr>
      <w:r>
        <w:rPr>
          <w:sz w:val="20"/>
          <w:szCs w:val="20"/>
        </w:rPr>
        <w:t>6</w:t>
      </w:r>
      <w:r>
        <w:rPr>
          <w:rFonts w:hint="eastAsia"/>
          <w:sz w:val="20"/>
          <w:szCs w:val="20"/>
        </w:rPr>
        <w:t>、</w:t>
      </w:r>
      <w:r>
        <w:rPr>
          <w:rFonts w:hint="eastAsia" w:cs="宋体"/>
          <w:sz w:val="20"/>
          <w:szCs w:val="20"/>
        </w:rPr>
        <w:t>乙方发现其经营的食品不符合食品安全标准，应当立即停止经营，通知相关生产经营者和消费者，并记录停止经营和通知情况。</w:t>
      </w:r>
    </w:p>
    <w:p>
      <w:pPr>
        <w:ind w:firstLine="400" w:firstLineChars="200"/>
        <w:rPr>
          <w:sz w:val="20"/>
          <w:szCs w:val="20"/>
        </w:rPr>
      </w:pPr>
      <w:r>
        <w:rPr>
          <w:rFonts w:hint="eastAsia" w:cs="宋体"/>
          <w:sz w:val="20"/>
          <w:szCs w:val="20"/>
        </w:rPr>
        <w:t>（七）对乙方从业人员的要求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乙方应当建立并执行从业人员健康管理制度，从业人员每年应当进行健康检查，取得健康证明后方可参加工作，并每年将员工健康证明复印件交甲方备案。</w:t>
      </w:r>
    </w:p>
    <w:p>
      <w:pPr>
        <w:ind w:firstLine="400" w:firstLineChars="200"/>
        <w:rPr>
          <w:sz w:val="20"/>
          <w:szCs w:val="20"/>
        </w:rPr>
      </w:pPr>
      <w:r>
        <w:rPr>
          <w:sz w:val="20"/>
          <w:szCs w:val="20"/>
        </w:rPr>
        <w:t>2</w:t>
      </w:r>
      <w:r>
        <w:rPr>
          <w:rFonts w:hint="eastAsia"/>
          <w:sz w:val="20"/>
          <w:szCs w:val="20"/>
        </w:rPr>
        <w:t>、</w:t>
      </w:r>
      <w:r>
        <w:rPr>
          <w:rFonts w:hint="eastAsia" w:cs="宋体"/>
          <w:sz w:val="20"/>
          <w:szCs w:val="20"/>
        </w:rPr>
        <w:t>乙方保证患有痢疾、伤寒、病毒性肝炎等消化道传染病的人员，以及患有活动性肺结核、化脓性或者渗出性皮肤病等有碍食品安全的疾病的人员，不得从事接触直接入口食品的工作。</w:t>
      </w:r>
    </w:p>
    <w:p>
      <w:pPr>
        <w:ind w:firstLine="400" w:firstLineChars="200"/>
        <w:rPr>
          <w:sz w:val="20"/>
          <w:szCs w:val="20"/>
        </w:rPr>
      </w:pPr>
      <w:r>
        <w:rPr>
          <w:sz w:val="20"/>
          <w:szCs w:val="20"/>
        </w:rPr>
        <w:t>3</w:t>
      </w:r>
      <w:r>
        <w:rPr>
          <w:rFonts w:hint="eastAsia"/>
          <w:sz w:val="20"/>
          <w:szCs w:val="20"/>
        </w:rPr>
        <w:t>、</w:t>
      </w:r>
      <w:r>
        <w:rPr>
          <w:rFonts w:hint="eastAsia" w:cs="宋体"/>
          <w:sz w:val="20"/>
          <w:szCs w:val="20"/>
        </w:rPr>
        <w:t>乙方销售直接入口食品必须使用专用工具，收款指定专人，不允许一边收款、一边拿食品。乙方必须用玻璃罩将直接入口食品盖好。</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乙方从业人员须注意保持个人卫生，养成良好卫生习惯。要做到四勤：勤洗手、剪指甲；勤洗澡、理发；勤洗衣服、被褥；勤换工作服。以下几种情况下必须洗手：（</w:t>
      </w:r>
      <w:r>
        <w:rPr>
          <w:sz w:val="20"/>
          <w:szCs w:val="20"/>
        </w:rPr>
        <w:t>1</w:t>
      </w:r>
      <w:r>
        <w:rPr>
          <w:rFonts w:hint="eastAsia" w:cs="宋体"/>
          <w:sz w:val="20"/>
          <w:szCs w:val="20"/>
        </w:rPr>
        <w:t>）工作开始前；（</w:t>
      </w:r>
      <w:r>
        <w:rPr>
          <w:sz w:val="20"/>
          <w:szCs w:val="20"/>
        </w:rPr>
        <w:t>2</w:t>
      </w:r>
      <w:r>
        <w:rPr>
          <w:rFonts w:hint="eastAsia" w:cs="宋体"/>
          <w:sz w:val="20"/>
          <w:szCs w:val="20"/>
        </w:rPr>
        <w:t>）大、小便后；（</w:t>
      </w:r>
      <w:r>
        <w:rPr>
          <w:sz w:val="20"/>
          <w:szCs w:val="20"/>
        </w:rPr>
        <w:t>3</w:t>
      </w:r>
      <w:r>
        <w:rPr>
          <w:rFonts w:hint="eastAsia" w:cs="宋体"/>
          <w:sz w:val="20"/>
          <w:szCs w:val="20"/>
        </w:rPr>
        <w:t>）中途离开岗位休息或饮食后；（</w:t>
      </w:r>
      <w:r>
        <w:rPr>
          <w:sz w:val="20"/>
          <w:szCs w:val="20"/>
        </w:rPr>
        <w:t>4</w:t>
      </w:r>
      <w:r>
        <w:rPr>
          <w:rFonts w:hint="eastAsia" w:cs="宋体"/>
          <w:sz w:val="20"/>
          <w:szCs w:val="20"/>
        </w:rPr>
        <w:t>）捡拾污物或直接处理废物后。</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pPr>
        <w:ind w:firstLine="400" w:firstLineChars="200"/>
        <w:rPr>
          <w:sz w:val="20"/>
          <w:szCs w:val="20"/>
        </w:rPr>
      </w:pPr>
      <w:r>
        <w:rPr>
          <w:rFonts w:hint="eastAsia" w:cs="宋体"/>
          <w:sz w:val="20"/>
          <w:szCs w:val="20"/>
        </w:rPr>
        <w:t>（八）对乙方餐具、后厨和环境卫生的要求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乙方操作间内，必须配有肥皂、洗手液等合格洗涤用品，经常打扫卫生，如灶台、地面、墙面保持干净整洁，灶具保持清洁、所用餐具、食品器具和工具每日消毒。严禁使用未消毒的餐具和食品器具。</w:t>
      </w:r>
    </w:p>
    <w:p>
      <w:pPr>
        <w:ind w:firstLine="384" w:firstLineChars="200"/>
        <w:rPr>
          <w:spacing w:val="-4"/>
          <w:sz w:val="20"/>
          <w:szCs w:val="20"/>
        </w:rPr>
      </w:pPr>
      <w:r>
        <w:rPr>
          <w:spacing w:val="-4"/>
          <w:sz w:val="20"/>
          <w:szCs w:val="20"/>
        </w:rPr>
        <w:t>2</w:t>
      </w:r>
      <w:r>
        <w:rPr>
          <w:rFonts w:hint="eastAsia"/>
          <w:spacing w:val="-4"/>
          <w:sz w:val="20"/>
          <w:szCs w:val="20"/>
        </w:rPr>
        <w:t>、</w:t>
      </w:r>
      <w:r>
        <w:rPr>
          <w:rFonts w:hint="eastAsia" w:cs="宋体"/>
          <w:spacing w:val="-4"/>
          <w:sz w:val="20"/>
          <w:szCs w:val="20"/>
        </w:rPr>
        <w:t>食品加工过程中生熟要分开存放、分别加工。冷荤食品必须选料新鲜，洗净消毒，制作冷荤的工具如刀、墩等要与其它工具分开存放，不得与其它工具混用，并且每日消毒。</w:t>
      </w:r>
    </w:p>
    <w:p>
      <w:pPr>
        <w:ind w:firstLine="400" w:firstLineChars="200"/>
        <w:rPr>
          <w:sz w:val="20"/>
          <w:szCs w:val="20"/>
        </w:rPr>
      </w:pPr>
      <w:r>
        <w:rPr>
          <w:sz w:val="20"/>
          <w:szCs w:val="20"/>
        </w:rPr>
        <w:t>3</w:t>
      </w:r>
      <w:r>
        <w:rPr>
          <w:rFonts w:hint="eastAsia"/>
          <w:sz w:val="20"/>
          <w:szCs w:val="20"/>
        </w:rPr>
        <w:t>、</w:t>
      </w:r>
      <w:r>
        <w:rPr>
          <w:rFonts w:hint="eastAsia" w:cs="宋体"/>
          <w:sz w:val="20"/>
          <w:szCs w:val="20"/>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乙方闭店时和所用灶具停用时，一律必须关紧燃气阀门。下班后必须将总闸关紧，电闸拉下，保证商铺安全。</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乙方须至少每两个月对厨房烟道定期清理</w:t>
      </w:r>
      <w:r>
        <w:rPr>
          <w:sz w:val="20"/>
          <w:szCs w:val="20"/>
        </w:rPr>
        <w:t>1</w:t>
      </w:r>
      <w:r>
        <w:rPr>
          <w:rFonts w:hint="eastAsia" w:cs="宋体"/>
          <w:sz w:val="20"/>
          <w:szCs w:val="20"/>
        </w:rPr>
        <w:t>次，避免油垢淤积，尤其是炉灶使用率较高的商铺。</w:t>
      </w:r>
    </w:p>
    <w:p>
      <w:pPr>
        <w:ind w:firstLine="400" w:firstLineChars="200"/>
        <w:rPr>
          <w:sz w:val="20"/>
          <w:szCs w:val="20"/>
        </w:rPr>
      </w:pPr>
      <w:r>
        <w:rPr>
          <w:sz w:val="20"/>
          <w:szCs w:val="20"/>
        </w:rPr>
        <w:t>6</w:t>
      </w:r>
      <w:r>
        <w:rPr>
          <w:rFonts w:hint="eastAsia"/>
          <w:sz w:val="20"/>
          <w:szCs w:val="20"/>
        </w:rPr>
        <w:t>、</w:t>
      </w:r>
      <w:r>
        <w:rPr>
          <w:rFonts w:hint="eastAsia" w:cs="宋体"/>
          <w:sz w:val="20"/>
          <w:szCs w:val="20"/>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pPr>
        <w:ind w:firstLine="400" w:firstLineChars="200"/>
        <w:rPr>
          <w:sz w:val="20"/>
          <w:szCs w:val="20"/>
        </w:rPr>
      </w:pPr>
      <w:r>
        <w:rPr>
          <w:sz w:val="20"/>
          <w:szCs w:val="20"/>
        </w:rPr>
        <w:t>7</w:t>
      </w:r>
      <w:r>
        <w:rPr>
          <w:rFonts w:hint="eastAsia"/>
          <w:sz w:val="20"/>
          <w:szCs w:val="20"/>
        </w:rPr>
        <w:t>、</w:t>
      </w:r>
      <w:r>
        <w:rPr>
          <w:rFonts w:hint="eastAsia" w:cs="宋体"/>
          <w:sz w:val="20"/>
          <w:szCs w:val="20"/>
        </w:rPr>
        <w:t>乙方必须配合甲方或甲方物业管理公司定期进行灭虫、鼠、蚊、蝇、蟑等的专项消杀工作，商铺内消杀费用由乙方自行承担。</w:t>
      </w:r>
    </w:p>
    <w:p>
      <w:pPr>
        <w:ind w:firstLine="400" w:firstLineChars="200"/>
        <w:rPr>
          <w:sz w:val="20"/>
          <w:szCs w:val="20"/>
        </w:rPr>
      </w:pPr>
      <w:r>
        <w:rPr>
          <w:rFonts w:hint="eastAsia" w:cs="宋体"/>
          <w:sz w:val="20"/>
          <w:szCs w:val="20"/>
        </w:rPr>
        <w:t>（九）食品安全事故处置</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pPr>
        <w:ind w:firstLine="400" w:firstLineChars="200"/>
        <w:rPr>
          <w:sz w:val="20"/>
          <w:szCs w:val="20"/>
        </w:rPr>
      </w:pPr>
      <w:r>
        <w:rPr>
          <w:sz w:val="20"/>
          <w:szCs w:val="20"/>
        </w:rPr>
        <w:t>2</w:t>
      </w:r>
      <w:r>
        <w:rPr>
          <w:rFonts w:hint="eastAsia"/>
          <w:sz w:val="20"/>
          <w:szCs w:val="20"/>
        </w:rPr>
        <w:t>、</w:t>
      </w:r>
      <w:r>
        <w:rPr>
          <w:rFonts w:hint="eastAsia" w:cs="宋体"/>
          <w:sz w:val="20"/>
          <w:szCs w:val="20"/>
        </w:rPr>
        <w:t>发生食品安全事故后，乙方应当立即采取措施予以处置，防止事故扩大。对因食品安全事故导致人身伤害的人员，乙方应当配合甲方和卫生行政部门立即组织救治，开展应急救援工作。</w:t>
      </w:r>
    </w:p>
    <w:p>
      <w:pPr>
        <w:ind w:firstLine="400" w:firstLineChars="200"/>
        <w:rPr>
          <w:sz w:val="20"/>
          <w:szCs w:val="20"/>
        </w:rPr>
      </w:pPr>
      <w:r>
        <w:rPr>
          <w:sz w:val="20"/>
          <w:szCs w:val="20"/>
        </w:rPr>
        <w:t>3</w:t>
      </w:r>
      <w:r>
        <w:rPr>
          <w:rFonts w:hint="eastAsia"/>
          <w:sz w:val="20"/>
          <w:szCs w:val="20"/>
        </w:rPr>
        <w:t>、</w:t>
      </w:r>
      <w:r>
        <w:rPr>
          <w:rFonts w:hint="eastAsia" w:cs="宋体"/>
          <w:sz w:val="20"/>
          <w:szCs w:val="20"/>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pPr>
        <w:ind w:firstLine="400" w:firstLineChars="200"/>
        <w:rPr>
          <w:sz w:val="20"/>
          <w:szCs w:val="20"/>
        </w:rPr>
      </w:pPr>
      <w:r>
        <w:rPr>
          <w:sz w:val="20"/>
          <w:szCs w:val="20"/>
        </w:rPr>
        <w:t>4</w:t>
      </w:r>
      <w:r>
        <w:rPr>
          <w:rFonts w:hint="eastAsia"/>
          <w:sz w:val="20"/>
          <w:szCs w:val="20"/>
        </w:rPr>
        <w:t>、</w:t>
      </w:r>
      <w:r>
        <w:rPr>
          <w:rFonts w:hint="eastAsia" w:cs="宋体"/>
          <w:sz w:val="20"/>
          <w:szCs w:val="20"/>
        </w:rPr>
        <w:t>配合甲方和监管部门做好信息发布工作，并对可能产生的危害加以解释、说明。</w:t>
      </w:r>
    </w:p>
    <w:p>
      <w:pPr>
        <w:ind w:firstLine="400" w:firstLineChars="200"/>
        <w:rPr>
          <w:sz w:val="20"/>
          <w:szCs w:val="20"/>
        </w:rPr>
      </w:pPr>
      <w:r>
        <w:rPr>
          <w:rFonts w:hint="eastAsia" w:cs="宋体"/>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pPr>
        <w:ind w:firstLine="384" w:firstLineChars="200"/>
        <w:rPr>
          <w:spacing w:val="-4"/>
          <w:sz w:val="20"/>
          <w:szCs w:val="20"/>
        </w:rPr>
      </w:pPr>
      <w:r>
        <w:rPr>
          <w:rFonts w:hint="eastAsia" w:cs="宋体"/>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pPr>
        <w:ind w:firstLine="400" w:firstLineChars="200"/>
        <w:rPr>
          <w:sz w:val="20"/>
          <w:szCs w:val="20"/>
        </w:rPr>
      </w:pPr>
      <w:r>
        <w:rPr>
          <w:rFonts w:hint="eastAsia" w:cs="宋体"/>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pPr>
        <w:ind w:firstLine="400" w:firstLineChars="200"/>
        <w:rPr>
          <w:sz w:val="20"/>
          <w:szCs w:val="20"/>
        </w:rPr>
      </w:pPr>
      <w:r>
        <w:rPr>
          <w:rFonts w:hint="eastAsia" w:cs="宋体"/>
          <w:sz w:val="20"/>
          <w:szCs w:val="20"/>
        </w:rPr>
        <w:t>（十三）《食品安全法》和其他法律法规明确规定的其他义务和责任。</w:t>
      </w: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hint="eastAsia" w:ascii="Arial" w:hAnsi="Arial" w:eastAsia="宋体" w:cs="宋体"/>
          <w:b/>
          <w:snapToGrid w:val="0"/>
          <w:kern w:val="0"/>
          <w:sz w:val="22"/>
          <w:szCs w:val="22"/>
        </w:rPr>
        <w:sectPr>
          <w:footerReference r:id="rId10" w:type="default"/>
          <w:pgSz w:w="11906" w:h="16838"/>
          <w:pgMar w:top="1440" w:right="1417" w:bottom="1440" w:left="1417" w:header="708" w:footer="709" w:gutter="0"/>
          <w:pgNumType w:start="1"/>
          <w:cols w:space="720" w:num="1"/>
          <w:docGrid w:linePitch="360" w:charSpace="0"/>
        </w:sectPr>
      </w:pP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t>附件七：阳光合作协议</w:t>
      </w:r>
    </w:p>
    <w:p>
      <w:pPr>
        <w:adjustRightInd w:val="0"/>
        <w:snapToGrid w:val="0"/>
        <w:jc w:val="center"/>
        <w:rPr>
          <w:rFonts w:ascii="宋体" w:hAnsi="宋体"/>
          <w:b/>
        </w:rPr>
      </w:pPr>
      <w:r>
        <w:rPr>
          <w:rFonts w:hint="eastAsia" w:ascii="宋体" w:hAnsi="宋体"/>
          <w:b/>
        </w:rPr>
        <w:t>阳光合作协议</w:t>
      </w:r>
    </w:p>
    <w:p>
      <w:pPr>
        <w:adjustRightInd w:val="0"/>
        <w:snapToGrid w:val="0"/>
        <w:rPr>
          <w:rFonts w:ascii="宋体" w:hAnsi="宋体"/>
          <w:sz w:val="20"/>
          <w:szCs w:val="20"/>
        </w:rPr>
      </w:pPr>
      <w:r>
        <w:rPr>
          <w:rFonts w:hint="eastAsia" w:ascii="宋体" w:hAnsi="宋体"/>
          <w:sz w:val="20"/>
          <w:szCs w:val="20"/>
        </w:rPr>
        <w:t>甲方：    </w:t>
      </w:r>
    </w:p>
    <w:p>
      <w:pPr>
        <w:adjustRightInd w:val="0"/>
        <w:snapToGrid w:val="0"/>
        <w:rPr>
          <w:rFonts w:ascii="宋体" w:hAnsi="宋体"/>
          <w:sz w:val="20"/>
          <w:szCs w:val="20"/>
        </w:rPr>
      </w:pPr>
      <w:r>
        <w:rPr>
          <w:rFonts w:hint="eastAsia" w:ascii="宋体" w:hAnsi="宋体"/>
          <w:sz w:val="20"/>
          <w:szCs w:val="20"/>
        </w:rPr>
        <w:t xml:space="preserve">乙方：             </w:t>
      </w:r>
    </w:p>
    <w:p>
      <w:pPr>
        <w:adjustRightInd w:val="0"/>
        <w:snapToGrid w:val="0"/>
        <w:rPr>
          <w:rFonts w:ascii="宋体" w:hAnsi="宋体"/>
          <w:sz w:val="20"/>
          <w:szCs w:val="20"/>
        </w:rPr>
      </w:pPr>
      <w:r>
        <w:rPr>
          <w:rFonts w:hint="eastAsia" w:ascii="宋体" w:hAnsi="宋体"/>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pPr>
        <w:adjustRightInd w:val="0"/>
        <w:snapToGrid w:val="0"/>
        <w:rPr>
          <w:rFonts w:ascii="宋体" w:hAnsi="宋体"/>
          <w:sz w:val="20"/>
          <w:szCs w:val="20"/>
        </w:rPr>
      </w:pPr>
      <w:r>
        <w:rPr>
          <w:rFonts w:hint="eastAsia" w:ascii="宋体" w:hAnsi="宋体"/>
          <w:sz w:val="20"/>
          <w:szCs w:val="20"/>
        </w:rPr>
        <w:t>一、甲方责任</w:t>
      </w:r>
    </w:p>
    <w:p>
      <w:pPr>
        <w:adjustRightInd w:val="0"/>
        <w:snapToGrid w:val="0"/>
        <w:rPr>
          <w:rFonts w:ascii="宋体" w:hAnsi="宋体"/>
          <w:sz w:val="20"/>
          <w:szCs w:val="20"/>
        </w:rPr>
      </w:pPr>
      <w:r>
        <w:rPr>
          <w:rFonts w:hint="eastAsia" w:ascii="宋体" w:hAnsi="宋体"/>
          <w:sz w:val="20"/>
          <w:szCs w:val="20"/>
        </w:rPr>
        <w:t>1.甲方有责任向乙方介绍甲方阳光合作相关规定。</w:t>
      </w:r>
    </w:p>
    <w:p>
      <w:pPr>
        <w:adjustRightInd w:val="0"/>
        <w:snapToGrid w:val="0"/>
        <w:rPr>
          <w:rFonts w:ascii="宋体" w:hAnsi="宋体"/>
          <w:sz w:val="20"/>
          <w:szCs w:val="20"/>
        </w:rPr>
      </w:pPr>
      <w:r>
        <w:rPr>
          <w:rFonts w:hint="eastAsia" w:ascii="宋体" w:hAnsi="宋体"/>
          <w:sz w:val="20"/>
          <w:szCs w:val="20"/>
        </w:rPr>
        <w:t>2.甲方严禁甲方人员在业务合作过程出现下列行为（包括不限于）：</w:t>
      </w:r>
    </w:p>
    <w:p>
      <w:pPr>
        <w:adjustRightInd w:val="0"/>
        <w:snapToGrid w:val="0"/>
        <w:rPr>
          <w:rFonts w:ascii="宋体" w:hAnsi="宋体"/>
          <w:sz w:val="20"/>
          <w:szCs w:val="20"/>
        </w:rPr>
      </w:pPr>
      <w:r>
        <w:rPr>
          <w:rFonts w:hint="eastAsia" w:ascii="宋体" w:hAnsi="宋体"/>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pPr>
        <w:adjustRightInd w:val="0"/>
        <w:snapToGrid w:val="0"/>
        <w:rPr>
          <w:rFonts w:ascii="宋体" w:hAnsi="宋体"/>
          <w:sz w:val="20"/>
          <w:szCs w:val="20"/>
        </w:rPr>
      </w:pPr>
      <w:r>
        <w:rPr>
          <w:rFonts w:hint="eastAsia" w:ascii="宋体" w:hAnsi="宋体"/>
          <w:sz w:val="20"/>
          <w:szCs w:val="20"/>
        </w:rPr>
        <w:t>（2）行贿及其他：甲方人员要求乙方或乙方人员配合或协助进行各种形式的行贿（包括但不限于提供回扣、现金、实物、证券、礼券等有价物品）、不当利益输送在内的各类违法活动。</w:t>
      </w:r>
    </w:p>
    <w:p>
      <w:pPr>
        <w:pStyle w:val="4"/>
        <w:adjustRightInd w:val="0"/>
        <w:snapToGrid w:val="0"/>
        <w:rPr>
          <w:rFonts w:ascii="宋体" w:hAnsi="宋体"/>
          <w:sz w:val="20"/>
          <w:szCs w:val="20"/>
        </w:rPr>
      </w:pPr>
      <w:r>
        <w:rPr>
          <w:rFonts w:hint="eastAsia" w:ascii="宋体" w:hAnsi="宋体"/>
          <w:sz w:val="20"/>
          <w:szCs w:val="20"/>
        </w:rPr>
        <w:t>（3）利益冲突：甲方人员未经甲方批准，以本人或其亲属名义于乙方或其关联单位处直接或变相参股、任职、兼职或获取其它利益；甲方禁止引入甲方离职人员注册或参股的公司成为</w:t>
      </w:r>
      <w:r>
        <w:rPr>
          <w:rFonts w:ascii="宋体" w:hAnsi="宋体"/>
          <w:sz w:val="20"/>
          <w:szCs w:val="20"/>
        </w:rPr>
        <w:t>甲方</w:t>
      </w:r>
      <w:r>
        <w:rPr>
          <w:rFonts w:hint="eastAsia" w:ascii="宋体" w:hAnsi="宋体"/>
          <w:sz w:val="20"/>
          <w:szCs w:val="20"/>
        </w:rPr>
        <w:t>供应商。</w:t>
      </w:r>
    </w:p>
    <w:p>
      <w:pPr>
        <w:adjustRightInd w:val="0"/>
        <w:snapToGrid w:val="0"/>
        <w:rPr>
          <w:rFonts w:ascii="宋体" w:hAnsi="宋体"/>
          <w:sz w:val="20"/>
          <w:szCs w:val="20"/>
        </w:rPr>
      </w:pPr>
      <w:r>
        <w:rPr>
          <w:rFonts w:hint="eastAsia" w:ascii="宋体" w:hAnsi="宋体"/>
          <w:sz w:val="20"/>
          <w:szCs w:val="20"/>
        </w:rPr>
        <w:t>（4）串标围标：在甲方业务范围内，甲方员工授意乙方配合进行串标或围标等违规违法行为。</w:t>
      </w:r>
    </w:p>
    <w:p>
      <w:pPr>
        <w:adjustRightInd w:val="0"/>
        <w:snapToGrid w:val="0"/>
        <w:rPr>
          <w:rFonts w:ascii="宋体" w:hAnsi="宋体"/>
          <w:sz w:val="20"/>
          <w:szCs w:val="20"/>
        </w:rPr>
      </w:pPr>
      <w:r>
        <w:rPr>
          <w:rFonts w:hint="eastAsia" w:ascii="宋体" w:hAnsi="宋体"/>
          <w:sz w:val="20"/>
          <w:szCs w:val="20"/>
        </w:rPr>
        <w:t xml:space="preserve">（5）资金往来：甲方人员或其亲属以任何理由向乙方（含关联单位）或乙方人员借贷资金。 </w:t>
      </w:r>
    </w:p>
    <w:p>
      <w:pPr>
        <w:adjustRightInd w:val="0"/>
        <w:snapToGrid w:val="0"/>
        <w:rPr>
          <w:rFonts w:ascii="宋体" w:hAnsi="宋体"/>
          <w:sz w:val="20"/>
          <w:szCs w:val="20"/>
        </w:rPr>
      </w:pPr>
      <w:r>
        <w:rPr>
          <w:rFonts w:hint="eastAsia" w:ascii="宋体" w:hAnsi="宋体"/>
          <w:sz w:val="20"/>
          <w:szCs w:val="20"/>
        </w:rPr>
        <w:t>3. 对于乙方举报甲方人员违反阳光合作禁止项的情况，甲方负有保密义务，并应及时组织调查，将最终调查结果反馈乙方。 </w:t>
      </w:r>
    </w:p>
    <w:p>
      <w:pPr>
        <w:adjustRightInd w:val="0"/>
        <w:snapToGrid w:val="0"/>
        <w:rPr>
          <w:rFonts w:ascii="宋体" w:hAnsi="宋体"/>
          <w:sz w:val="20"/>
          <w:szCs w:val="20"/>
        </w:rPr>
      </w:pPr>
    </w:p>
    <w:p>
      <w:pPr>
        <w:adjustRightInd w:val="0"/>
        <w:snapToGrid w:val="0"/>
        <w:rPr>
          <w:rFonts w:ascii="宋体" w:hAnsi="宋体"/>
          <w:sz w:val="20"/>
          <w:szCs w:val="20"/>
        </w:rPr>
      </w:pPr>
      <w:r>
        <w:rPr>
          <w:rFonts w:hint="eastAsia" w:ascii="宋体" w:hAnsi="宋体"/>
          <w:sz w:val="20"/>
          <w:szCs w:val="20"/>
        </w:rPr>
        <w:t>二、乙方责任</w:t>
      </w:r>
    </w:p>
    <w:p>
      <w:pPr>
        <w:adjustRightInd w:val="0"/>
        <w:snapToGrid w:val="0"/>
        <w:rPr>
          <w:rFonts w:ascii="宋体" w:hAnsi="宋体"/>
          <w:sz w:val="20"/>
          <w:szCs w:val="20"/>
        </w:rPr>
      </w:pPr>
      <w:r>
        <w:rPr>
          <w:rFonts w:hint="eastAsia" w:ascii="宋体" w:hAnsi="宋体"/>
          <w:sz w:val="20"/>
          <w:szCs w:val="20"/>
        </w:rPr>
        <w:t>1.乙方应确认理解并接受本协议中阳光合作禁止项的相关规定，并保证乙方工作人员、分包商、代理商及合作方均理解并接受本协议中阳光合作禁止项的相关规定，并遵照执行。</w:t>
      </w:r>
    </w:p>
    <w:p>
      <w:pPr>
        <w:adjustRightInd w:val="0"/>
        <w:snapToGrid w:val="0"/>
        <w:rPr>
          <w:rFonts w:ascii="宋体" w:hAnsi="宋体"/>
          <w:sz w:val="20"/>
          <w:szCs w:val="20"/>
        </w:rPr>
      </w:pPr>
      <w:r>
        <w:rPr>
          <w:rFonts w:hint="eastAsia" w:ascii="宋体" w:hAnsi="宋体"/>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pPr>
        <w:adjustRightInd w:val="0"/>
        <w:snapToGrid w:val="0"/>
        <w:rPr>
          <w:rFonts w:ascii="宋体" w:hAnsi="宋体"/>
          <w:sz w:val="20"/>
          <w:szCs w:val="20"/>
        </w:rPr>
      </w:pPr>
      <w:r>
        <w:rPr>
          <w:rFonts w:hint="eastAsia" w:ascii="宋体" w:hAnsi="宋体"/>
          <w:sz w:val="20"/>
          <w:szCs w:val="20"/>
        </w:rPr>
        <w:t>3.乙方及乙方应确保乙方人员严格遵守以下阳光合作约定（包括不限于）：</w:t>
      </w:r>
    </w:p>
    <w:p>
      <w:pPr>
        <w:adjustRightInd w:val="0"/>
        <w:snapToGrid w:val="0"/>
        <w:rPr>
          <w:rFonts w:ascii="宋体" w:hAnsi="宋体"/>
          <w:sz w:val="20"/>
          <w:szCs w:val="20"/>
        </w:rPr>
      </w:pPr>
      <w:r>
        <w:rPr>
          <w:rFonts w:hint="eastAsia" w:ascii="宋体" w:hAnsi="宋体"/>
          <w:sz w:val="20"/>
          <w:szCs w:val="20"/>
        </w:rPr>
        <w:t>（1）严禁商业贿赂：乙方及乙方人员不得向甲方人员提供任何形式的回扣、现金、实物、证券、礼券等有价物品或旅游、高档宴请等其他可能影响职务行为公正履行的活动；</w:t>
      </w:r>
    </w:p>
    <w:p>
      <w:pPr>
        <w:adjustRightInd w:val="0"/>
        <w:snapToGrid w:val="0"/>
        <w:rPr>
          <w:rFonts w:ascii="宋体" w:hAnsi="宋体"/>
          <w:sz w:val="20"/>
          <w:szCs w:val="20"/>
        </w:rPr>
      </w:pPr>
      <w:r>
        <w:rPr>
          <w:rFonts w:hint="eastAsia" w:ascii="宋体" w:hAnsi="宋体"/>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pPr>
        <w:adjustRightInd w:val="0"/>
        <w:snapToGrid w:val="0"/>
        <w:rPr>
          <w:rFonts w:ascii="宋体" w:hAnsi="宋体"/>
          <w:sz w:val="20"/>
          <w:szCs w:val="20"/>
        </w:rPr>
      </w:pPr>
      <w:r>
        <w:rPr>
          <w:rFonts w:hint="eastAsia" w:ascii="宋体" w:hAnsi="宋体"/>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pPr>
        <w:pStyle w:val="4"/>
        <w:adjustRightInd w:val="0"/>
        <w:snapToGrid w:val="0"/>
        <w:rPr>
          <w:rFonts w:ascii="宋体" w:hAnsi="宋体"/>
          <w:sz w:val="20"/>
          <w:szCs w:val="20"/>
        </w:rPr>
      </w:pPr>
      <w:r>
        <w:rPr>
          <w:rFonts w:hint="eastAsia" w:ascii="宋体" w:hAnsi="宋体"/>
          <w:sz w:val="20"/>
          <w:szCs w:val="20"/>
        </w:rPr>
        <w:t>①</w:t>
      </w:r>
      <w:r>
        <w:rPr>
          <w:rFonts w:ascii="宋体" w:hAnsi="宋体"/>
          <w:sz w:val="20"/>
          <w:szCs w:val="20"/>
        </w:rPr>
        <w:t>甲方</w:t>
      </w:r>
      <w:r>
        <w:rPr>
          <w:rFonts w:hint="eastAsia" w:ascii="宋体" w:hAnsi="宋体"/>
          <w:sz w:val="20"/>
          <w:szCs w:val="20"/>
        </w:rPr>
        <w:t>在职员工或其亲属于乙方公司或其关联单位处直接或变相持股（注：公开市场股票投资不属于乙方协议披露义务）、控制、任职、兼职、借贷资金或获取其它利益的情况；</w:t>
      </w:r>
    </w:p>
    <w:p>
      <w:pPr>
        <w:pStyle w:val="4"/>
        <w:adjustRightInd w:val="0"/>
        <w:snapToGrid w:val="0"/>
        <w:rPr>
          <w:rFonts w:ascii="宋体" w:hAnsi="宋体"/>
          <w:sz w:val="20"/>
          <w:szCs w:val="20"/>
        </w:rPr>
      </w:pPr>
      <w:r>
        <w:rPr>
          <w:rFonts w:hint="eastAsia" w:ascii="宋体" w:hAnsi="宋体"/>
          <w:sz w:val="20"/>
          <w:szCs w:val="20"/>
        </w:rPr>
        <w:t>②</w:t>
      </w:r>
      <w:r>
        <w:rPr>
          <w:rFonts w:ascii="宋体" w:hAnsi="宋体"/>
          <w:sz w:val="20"/>
          <w:szCs w:val="20"/>
        </w:rPr>
        <w:t>甲方</w:t>
      </w:r>
      <w:r>
        <w:rPr>
          <w:rFonts w:hint="eastAsia" w:ascii="宋体" w:hAnsi="宋体"/>
          <w:sz w:val="20"/>
          <w:szCs w:val="20"/>
        </w:rPr>
        <w:t xml:space="preserve">离职员工或其亲属于乙方公司或其关联单位处直接或变相持股（注：公开市场股票投资不属于乙方协议披露义务）、控制、任职或兼职的情况； </w:t>
      </w:r>
    </w:p>
    <w:p>
      <w:pPr>
        <w:adjustRightInd w:val="0"/>
        <w:snapToGrid w:val="0"/>
        <w:rPr>
          <w:rFonts w:ascii="宋体" w:hAnsi="宋体"/>
          <w:sz w:val="20"/>
          <w:szCs w:val="20"/>
        </w:rPr>
      </w:pPr>
      <w:r>
        <w:rPr>
          <w:rFonts w:hint="eastAsia" w:ascii="宋体" w:hAnsi="宋体"/>
          <w:sz w:val="20"/>
          <w:szCs w:val="20"/>
        </w:rPr>
        <w:t>③乙方法定代表人、股东、实际业务控制人、对接人两年内以其他公司名义参与甲方业务合作的情况；</w:t>
      </w:r>
    </w:p>
    <w:p>
      <w:pPr>
        <w:pStyle w:val="4"/>
        <w:adjustRightInd w:val="0"/>
        <w:snapToGrid w:val="0"/>
        <w:rPr>
          <w:rFonts w:ascii="宋体" w:hAnsi="宋体"/>
          <w:sz w:val="20"/>
          <w:szCs w:val="20"/>
        </w:rPr>
      </w:pPr>
      <w:r>
        <w:rPr>
          <w:rFonts w:hint="eastAsia" w:ascii="宋体" w:hAnsi="宋体"/>
          <w:sz w:val="20"/>
          <w:szCs w:val="20"/>
        </w:rPr>
        <w:t>④严禁串标围标：在甲方业务范围内，乙方及乙方人员应拒绝甲方员工授意配合进行串标或围标等违规违法操作的请求；乙方及乙方员工不得串谋其他单位，在</w:t>
      </w:r>
      <w:r>
        <w:rPr>
          <w:rFonts w:ascii="宋体" w:hAnsi="宋体"/>
          <w:sz w:val="20"/>
          <w:szCs w:val="20"/>
        </w:rPr>
        <w:t>甲方</w:t>
      </w:r>
      <w:r>
        <w:rPr>
          <w:rFonts w:hint="eastAsia" w:ascii="宋体" w:hAnsi="宋体"/>
          <w:sz w:val="20"/>
          <w:szCs w:val="20"/>
        </w:rPr>
        <w:t>业务中进行串标或围标等违规违法操作；</w:t>
      </w:r>
    </w:p>
    <w:p>
      <w:pPr>
        <w:adjustRightInd w:val="0"/>
        <w:snapToGrid w:val="0"/>
        <w:rPr>
          <w:rFonts w:ascii="宋体" w:hAnsi="宋体"/>
          <w:sz w:val="20"/>
          <w:szCs w:val="20"/>
        </w:rPr>
      </w:pPr>
      <w:r>
        <w:rPr>
          <w:rFonts w:hint="eastAsia" w:ascii="宋体" w:hAnsi="宋体"/>
          <w:sz w:val="20"/>
          <w:szCs w:val="20"/>
        </w:rPr>
        <w:t>⑤资金往来：乙方（含关联单位）或乙方人员不得在任何情况下向甲方人员或其亲属提供资金借贷。</w:t>
      </w:r>
    </w:p>
    <w:p>
      <w:pPr>
        <w:adjustRightInd w:val="0"/>
        <w:snapToGrid w:val="0"/>
        <w:rPr>
          <w:rFonts w:ascii="宋体" w:hAnsi="宋体"/>
          <w:sz w:val="20"/>
          <w:szCs w:val="20"/>
        </w:rPr>
      </w:pPr>
      <w:r>
        <w:rPr>
          <w:rFonts w:hint="eastAsia" w:ascii="宋体" w:hAnsi="宋体"/>
          <w:sz w:val="20"/>
          <w:szCs w:val="20"/>
        </w:rPr>
        <w:t>4.乙方不得为甲方工作人员或其亲属装修住房、婚丧嫁娶、配偶子女工作安排及出国（境）、旅游等提供方便。</w:t>
      </w:r>
    </w:p>
    <w:p>
      <w:pPr>
        <w:adjustRightInd w:val="0"/>
        <w:snapToGrid w:val="0"/>
        <w:rPr>
          <w:rFonts w:ascii="宋体" w:hAnsi="宋体"/>
          <w:sz w:val="20"/>
          <w:szCs w:val="20"/>
        </w:rPr>
      </w:pPr>
      <w:r>
        <w:rPr>
          <w:rFonts w:hint="eastAsia" w:ascii="宋体" w:hAnsi="宋体"/>
          <w:sz w:val="20"/>
          <w:szCs w:val="20"/>
        </w:rPr>
        <w:t>5.乙方在与甲方开展合作前，有责任向甲方披露乙方实际控制人信息，包括不限于姓名、身份证号码等信息。</w:t>
      </w:r>
    </w:p>
    <w:p>
      <w:pPr>
        <w:adjustRightInd w:val="0"/>
        <w:snapToGrid w:val="0"/>
        <w:rPr>
          <w:rFonts w:ascii="宋体" w:hAnsi="宋体"/>
          <w:sz w:val="20"/>
          <w:szCs w:val="20"/>
        </w:rPr>
      </w:pPr>
      <w:r>
        <w:rPr>
          <w:rFonts w:hint="eastAsia" w:ascii="宋体" w:hAnsi="宋体"/>
          <w:sz w:val="20"/>
          <w:szCs w:val="20"/>
        </w:rPr>
        <w:t>6.乙方有责任接受甲方对乙方在合作期间阳光合作协议执行情况的监督，并对甲方相关调查工作主动配合。</w:t>
      </w:r>
    </w:p>
    <w:p>
      <w:pPr>
        <w:adjustRightInd w:val="0"/>
        <w:snapToGrid w:val="0"/>
        <w:rPr>
          <w:rFonts w:ascii="宋体" w:hAnsi="宋体"/>
          <w:sz w:val="20"/>
          <w:szCs w:val="20"/>
        </w:rPr>
      </w:pPr>
      <w:r>
        <w:rPr>
          <w:rFonts w:hint="eastAsia" w:ascii="宋体" w:hAnsi="宋体"/>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pPr>
        <w:adjustRightInd w:val="0"/>
        <w:snapToGrid w:val="0"/>
        <w:rPr>
          <w:rFonts w:ascii="宋体" w:hAnsi="宋体"/>
          <w:sz w:val="20"/>
          <w:szCs w:val="20"/>
        </w:rPr>
      </w:pPr>
      <w:r>
        <w:rPr>
          <w:rFonts w:hint="eastAsia" w:ascii="宋体" w:hAnsi="宋体"/>
          <w:sz w:val="20"/>
          <w:szCs w:val="20"/>
        </w:rPr>
        <w:t xml:space="preserve">举报受理部门： </w:t>
      </w:r>
    </w:p>
    <w:p>
      <w:pPr>
        <w:adjustRightInd w:val="0"/>
        <w:snapToGrid w:val="0"/>
        <w:rPr>
          <w:rStyle w:val="11"/>
          <w:rFonts w:ascii="宋体" w:hAnsi="宋体"/>
          <w:color w:val="000000"/>
          <w:sz w:val="20"/>
          <w:szCs w:val="20"/>
        </w:rPr>
      </w:pPr>
      <w:r>
        <w:rPr>
          <w:rFonts w:hint="eastAsia" w:ascii="宋体" w:hAnsi="宋体"/>
          <w:sz w:val="20"/>
          <w:szCs w:val="20"/>
        </w:rPr>
        <w:t>甲方举报邮箱：</w:t>
      </w:r>
      <w:r>
        <w:fldChar w:fldCharType="begin"/>
      </w:r>
      <w:r>
        <w:instrText xml:space="preserve"> HYPERLINK "mailto:jubao01@cofco.com" </w:instrText>
      </w:r>
      <w:r>
        <w:fldChar w:fldCharType="separate"/>
      </w:r>
      <w:r>
        <w:fldChar w:fldCharType="end"/>
      </w:r>
      <w:r>
        <w:rPr>
          <w:rStyle w:val="11"/>
          <w:rFonts w:ascii="宋体" w:hAnsi="宋体"/>
          <w:color w:val="000000"/>
          <w:sz w:val="20"/>
          <w:szCs w:val="20"/>
        </w:rPr>
        <w:t xml:space="preserve"> </w:t>
      </w:r>
    </w:p>
    <w:p>
      <w:pPr>
        <w:adjustRightInd w:val="0"/>
        <w:snapToGrid w:val="0"/>
        <w:rPr>
          <w:rFonts w:ascii="宋体" w:hAnsi="宋体"/>
          <w:sz w:val="20"/>
          <w:szCs w:val="20"/>
        </w:rPr>
      </w:pPr>
    </w:p>
    <w:p>
      <w:pPr>
        <w:adjustRightInd w:val="0"/>
        <w:snapToGrid w:val="0"/>
        <w:rPr>
          <w:rFonts w:ascii="宋体" w:hAnsi="宋体"/>
          <w:sz w:val="20"/>
          <w:szCs w:val="20"/>
        </w:rPr>
      </w:pPr>
      <w:r>
        <w:rPr>
          <w:rFonts w:hint="eastAsia" w:ascii="宋体" w:hAnsi="宋体"/>
          <w:sz w:val="20"/>
          <w:szCs w:val="20"/>
        </w:rPr>
        <w:t>三、违约责任</w:t>
      </w:r>
    </w:p>
    <w:p>
      <w:pPr>
        <w:adjustRightInd w:val="0"/>
        <w:snapToGrid w:val="0"/>
        <w:rPr>
          <w:rFonts w:ascii="宋体" w:hAnsi="宋体"/>
          <w:sz w:val="20"/>
          <w:szCs w:val="20"/>
        </w:rPr>
      </w:pPr>
      <w:r>
        <w:rPr>
          <w:rFonts w:hint="eastAsia" w:ascii="宋体" w:hAnsi="宋体"/>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pPr>
        <w:tabs>
          <w:tab w:val="left" w:pos="4665"/>
        </w:tabs>
        <w:adjustRightInd w:val="0"/>
        <w:snapToGrid w:val="0"/>
        <w:rPr>
          <w:rFonts w:ascii="宋体" w:hAnsi="宋体"/>
          <w:sz w:val="20"/>
          <w:szCs w:val="20"/>
        </w:rPr>
      </w:pPr>
      <w:r>
        <w:rPr>
          <w:rFonts w:ascii="宋体" w:hAnsi="宋体"/>
          <w:sz w:val="20"/>
          <w:szCs w:val="20"/>
        </w:rPr>
        <w:tab/>
      </w:r>
    </w:p>
    <w:p>
      <w:pPr>
        <w:adjustRightInd w:val="0"/>
        <w:snapToGrid w:val="0"/>
        <w:rPr>
          <w:rFonts w:ascii="宋体" w:hAnsi="宋体"/>
          <w:sz w:val="20"/>
          <w:szCs w:val="20"/>
        </w:rPr>
      </w:pPr>
      <w:r>
        <w:rPr>
          <w:rFonts w:hint="eastAsia" w:ascii="宋体" w:hAnsi="宋体"/>
          <w:sz w:val="20"/>
          <w:szCs w:val="20"/>
        </w:rPr>
        <w:t>四、本协议</w:t>
      </w:r>
      <w:r>
        <w:rPr>
          <w:rFonts w:hint="eastAsia" w:cs="宋体"/>
          <w:sz w:val="20"/>
          <w:szCs w:val="20"/>
        </w:rPr>
        <w:t>一式陆份，甲方持肆份，乙方执贰份</w:t>
      </w:r>
      <w:r>
        <w:rPr>
          <w:rFonts w:hint="eastAsia" w:ascii="宋体" w:hAnsi="宋体"/>
          <w:sz w:val="20"/>
          <w:szCs w:val="20"/>
        </w:rPr>
        <w:t>，自双方盖章之日起生效；</w:t>
      </w:r>
      <w:r>
        <w:rPr>
          <w:rFonts w:ascii="宋体" w:hAnsi="宋体"/>
          <w:sz w:val="20"/>
          <w:szCs w:val="20"/>
        </w:rPr>
        <w:t>乙方为自然人的，本</w:t>
      </w:r>
      <w:r>
        <w:rPr>
          <w:rFonts w:hint="eastAsia" w:ascii="宋体" w:hAnsi="宋体"/>
          <w:sz w:val="20"/>
          <w:szCs w:val="20"/>
        </w:rPr>
        <w:t>协议自甲方</w:t>
      </w:r>
      <w:r>
        <w:rPr>
          <w:rFonts w:ascii="宋体" w:hAnsi="宋体"/>
          <w:sz w:val="20"/>
          <w:szCs w:val="20"/>
        </w:rPr>
        <w:t>盖章且乙方签字</w:t>
      </w:r>
      <w:r>
        <w:rPr>
          <w:rFonts w:hint="eastAsia" w:ascii="宋体" w:hAnsi="宋体"/>
          <w:sz w:val="20"/>
          <w:szCs w:val="20"/>
        </w:rPr>
        <w:t>之日起生效。本协议</w:t>
      </w:r>
      <w:r>
        <w:rPr>
          <w:rFonts w:hint="eastAsia" w:ascii="宋体" w:hAnsi="宋体" w:cs="宋体"/>
          <w:sz w:val="20"/>
          <w:szCs w:val="20"/>
        </w:rPr>
        <w:t>有效期与原合同一致，原合同期满或提前终止，则本协议亦同时终止。</w:t>
      </w:r>
    </w:p>
    <w:p>
      <w:pPr>
        <w:rPr>
          <w:rFonts w:ascii="宋体" w:hAnsi="宋体"/>
          <w:sz w:val="20"/>
          <w:szCs w:val="20"/>
        </w:rPr>
      </w:pPr>
      <w:r>
        <w:rPr>
          <w:rFonts w:hint="eastAsia" w:ascii="宋体" w:hAnsi="宋体" w:cs="宋体"/>
          <w:sz w:val="20"/>
          <w:szCs w:val="20"/>
        </w:rPr>
        <w:t>（以下无正文，仅签署）</w:t>
      </w:r>
    </w:p>
    <w:p>
      <w:pPr>
        <w:ind w:firstLine="400" w:firstLineChars="200"/>
        <w:rPr>
          <w:rFonts w:ascii="宋体" w:hAnsi="宋体"/>
          <w:sz w:val="20"/>
          <w:szCs w:val="20"/>
        </w:rPr>
      </w:pPr>
    </w:p>
    <w:p>
      <w:pPr>
        <w:ind w:firstLine="400" w:firstLineChars="200"/>
        <w:rPr>
          <w:rFonts w:ascii="宋体" w:hAnsi="宋体"/>
          <w:sz w:val="20"/>
          <w:szCs w:val="20"/>
        </w:rPr>
      </w:pPr>
      <w:r>
        <w:rPr>
          <w:rFonts w:hint="eastAsia" w:ascii="宋体" w:hAnsi="宋体" w:cs="宋体"/>
          <w:sz w:val="20"/>
          <w:szCs w:val="20"/>
        </w:rPr>
        <w:t>甲方：</w:t>
      </w:r>
      <w:r>
        <w:rPr>
          <w:rFonts w:ascii="宋体" w:hAnsi="宋体"/>
          <w:sz w:val="20"/>
          <w:szCs w:val="20"/>
        </w:rPr>
        <w:t xml:space="preserve">                                 </w:t>
      </w:r>
      <w:r>
        <w:rPr>
          <w:rFonts w:hint="eastAsia" w:ascii="宋体" w:hAnsi="宋体" w:cs="宋体"/>
          <w:sz w:val="20"/>
          <w:szCs w:val="20"/>
        </w:rPr>
        <w:t>乙方：</w:t>
      </w:r>
    </w:p>
    <w:p>
      <w:pPr>
        <w:ind w:firstLine="400" w:firstLineChars="200"/>
        <w:rPr>
          <w:rFonts w:ascii="宋体" w:hAnsi="宋体"/>
          <w:sz w:val="20"/>
          <w:szCs w:val="20"/>
        </w:rPr>
      </w:pPr>
    </w:p>
    <w:p>
      <w:pPr>
        <w:spacing w:before="120" w:beforeLines="50" w:after="120" w:afterLines="50"/>
        <w:rPr>
          <w:rFonts w:ascii="宋体" w:hAnsi="宋体" w:cs="宋体"/>
          <w:sz w:val="20"/>
          <w:szCs w:val="20"/>
        </w:rPr>
      </w:pPr>
      <w:r>
        <w:rPr>
          <w:rFonts w:ascii="宋体" w:hAnsi="宋体"/>
          <w:sz w:val="20"/>
          <w:szCs w:val="20"/>
        </w:rPr>
        <w:t>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r>
        <w:rPr>
          <w:rFonts w:ascii="宋体" w:hAnsi="宋体"/>
          <w:sz w:val="20"/>
          <w:szCs w:val="20"/>
        </w:rPr>
        <w:t xml:space="preserve">                  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p>
    <w:p>
      <w:pPr>
        <w:spacing w:before="120" w:beforeLines="50" w:after="120" w:afterLines="50"/>
        <w:outlineLvl w:val="0"/>
        <w:rPr>
          <w:rFonts w:hint="eastAsia" w:ascii="Arial" w:hAnsi="Arial" w:eastAsia="宋体" w:cs="宋体"/>
          <w:b/>
          <w:sz w:val="22"/>
          <w:szCs w:val="22"/>
        </w:rPr>
        <w:sectPr>
          <w:footerReference r:id="rId11"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附件八：商铺交付确认书</w:t>
      </w:r>
    </w:p>
    <w:p>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商铺交付确认书</w:t>
      </w: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兹确认甲、乙双方根据《</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》第七条的约定，于</w:t>
      </w:r>
      <w:r>
        <w:rPr>
          <w:rFonts w:hint="eastAsia" w:ascii="宋体" w:hAnsi="宋体" w:eastAsia="宋体"/>
          <w:color w:val="auto"/>
          <w:sz w:val="24"/>
          <w:szCs w:val="22"/>
          <w:u w:val="single"/>
          <w:shd w:val="clear" w:color="auto" w:fill="FFFFFF"/>
        </w:rPr>
        <w:t xml:space="preserve">  </w:t>
      </w:r>
      <w:r>
        <w:rPr>
          <w:rFonts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年</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月</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日在该商铺现场进行现场交付。经乙方查验，商铺完全符合《</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》及其附件约定的交付标准，乙方确认并同意接受甲方之交付。</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1、交付日水表读数：</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2、交付日电表读数：</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3、交付日燃气表读数：</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r>
        <w:rPr>
          <w:rFonts w:hint="eastAsia" w:ascii="宋体" w:hAnsi="Calibri" w:eastAsia="宋体"/>
          <w:color w:val="auto"/>
          <w:sz w:val="24"/>
          <w:szCs w:val="22"/>
          <w:shd w:val="clear" w:color="auto" w:fill="FFFFFF"/>
        </w:rPr>
        <w:t xml:space="preserve"> </w:t>
      </w:r>
    </w:p>
    <w:p>
      <w:pPr>
        <w:tabs>
          <w:tab w:val="left" w:pos="2493"/>
        </w:tabs>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jc w:val="right"/>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pPr>
        <w:spacing w:line="480" w:lineRule="exact"/>
        <w:jc w:val="right"/>
        <w:rPr>
          <w:rFonts w:ascii="Arial" w:hAnsi="Arial" w:eastAsia="宋体" w:cs="宋体"/>
          <w:b/>
          <w:snapToGrid w:val="0"/>
          <w:kern w:val="0"/>
          <w:sz w:val="22"/>
          <w:szCs w:val="22"/>
        </w:rPr>
      </w:pPr>
    </w:p>
    <w:p>
      <w:pPr>
        <w:spacing w:before="120" w:beforeLines="50" w:after="120" w:afterLines="50"/>
        <w:outlineLvl w:val="0"/>
        <w:rPr>
          <w:rFonts w:hint="eastAsia" w:ascii="Arial" w:hAnsi="Arial" w:eastAsia="宋体" w:cs="宋体"/>
          <w:b/>
          <w:sz w:val="22"/>
          <w:szCs w:val="22"/>
        </w:rPr>
        <w:sectPr>
          <w:footerReference r:id="rId12"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附件九：开业确认书</w:t>
      </w:r>
    </w:p>
    <w:p>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开业确认书</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2、乙方已经完成了开业准备并具备开业条件，特此向甲方申请提前开业。</w:t>
      </w:r>
    </w:p>
    <w:p>
      <w:pPr>
        <w:adjustRightInd w:val="0"/>
        <w:spacing w:line="380" w:lineRule="exact"/>
        <w:textAlignment w:val="baseline"/>
        <w:rPr>
          <w:rFonts w:ascii="Arial" w:hAnsi="Arial" w:eastAsia="宋体" w:cs="宋体"/>
          <w:b/>
          <w:snapToGrid w:val="0"/>
          <w:kern w:val="0"/>
          <w:sz w:val="22"/>
          <w:szCs w:val="22"/>
        </w:rPr>
      </w:pPr>
    </w:p>
    <w:p>
      <w:pPr>
        <w:adjustRightInd w:val="0"/>
        <w:spacing w:line="380" w:lineRule="exact"/>
        <w:textAlignment w:val="baseline"/>
        <w:rPr>
          <w:rFonts w:ascii="Arial" w:hAnsi="Arial" w:eastAsia="宋体" w:cs="宋体"/>
          <w:b/>
          <w:snapToGrid w:val="0"/>
          <w:kern w:val="0"/>
          <w:sz w:val="22"/>
          <w:szCs w:val="22"/>
        </w:rPr>
      </w:pPr>
    </w:p>
    <w:p>
      <w:pPr>
        <w:spacing w:before="120" w:beforeLines="50" w:after="120" w:afterLines="50"/>
        <w:outlineLvl w:val="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1、甲方同意，乙方在    年    月    日提前开业。</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2、《天府国际动漫城租赁合同》项下计租日调整为    年    月    日，计租期、运营培育期期限相应调整。</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pPr>
        <w:pStyle w:val="2"/>
        <w:rPr>
          <w:rFonts w:hint="default"/>
        </w:rPr>
        <w:sectPr>
          <w:footerReference r:id="rId13" w:type="default"/>
          <w:pgSz w:w="11906" w:h="16838"/>
          <w:pgMar w:top="1440" w:right="1800" w:bottom="1440" w:left="1800" w:header="851" w:footer="992" w:gutter="0"/>
          <w:pgNumType w:fmt="decimal"/>
          <w:cols w:space="425" w:num="1"/>
          <w:docGrid w:type="lines" w:linePitch="312" w:charSpace="0"/>
        </w:sectPr>
      </w:pPr>
    </w:p>
    <w:p>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A333902-D6B6-4DE3-9B34-BD1F9A85B32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3046138-A982-4ED9-AB63-930B0B3DEE0B}"/>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fontKey="{BC90D9B3-7DB8-4E6C-B847-80003044762E}"/>
  </w:font>
  <w:font w:name="方正仿宋_GB2312">
    <w:panose1 w:val="02000000000000000000"/>
    <w:charset w:val="86"/>
    <w:family w:val="auto"/>
    <w:pitch w:val="default"/>
    <w:sig w:usb0="A00002BF" w:usb1="184F6CFA" w:usb2="00000012" w:usb3="00000000" w:csb0="00040001" w:csb1="00000000"/>
    <w:embedRegular r:id="rId4" w:fontKey="{AC5341B8-B8C3-474F-AD58-B6869AF497EA}"/>
  </w:font>
  <w:font w:name="华文宋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14935" cy="147955"/>
              <wp:effectExtent l="0" t="0" r="0" b="0"/>
              <wp:wrapNone/>
              <wp:docPr id="15"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9504;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BNcYmByQEAAI4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BMWnDlhaeLHH9+PP38f&#10;f31jl8mfPmBFZffhDqYTUpjEDi3Y9CYZbMieHs6eqiEyScmyvLq+JGhJV+XVm+vFImEWjx8HwPhe&#10;ectSUHOgkWUnxf4jxrH0VJJ6OX+rjaG8qIz7K0GYKVMkviPDFMVhM0y0N745kNiepl1zR8vNmfng&#10;yMy0GKcATsHmFOwC6G1H1MrMC8O7XSQSmVvqMMJOjWlMWd20UmkP/jznqsffaPU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E1xiYHJAQAAjg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47955"/>
              <wp:effectExtent l="0" t="0" r="0" b="0"/>
              <wp:wrapNone/>
              <wp:docPr id="1"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1312;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BvzGKOyQEAAI0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BM4c8LSwI8/vh9//j7+&#10;+sYukz19wIqq7sMdTCekMGkdWrDpTSrYkC09nC1VQ2SSkmV5dX254EzSVXn15nqxSJjF48cBML5X&#10;3rIU1BxoYtlIsf+IcSw9laRezt9qYygvKuP+ShBmyhSJ78gwRXHYDBPtjW8OpLWnYdfc0W5zZj44&#10;8jLtxSmAU7A5BbsAetsRtTLzwvBuF4lE5pY6jLBTY5pSVjdtVFqDP8+56vEvWj0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G/MYo7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47955"/>
              <wp:effectExtent l="0" t="0" r="0" b="0"/>
              <wp:wrapNone/>
              <wp:docPr id="3"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2336;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LMn8Yz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47955"/>
              <wp:effectExtent l="0" t="0" r="0" b="0"/>
              <wp:wrapNone/>
              <wp:docPr id="4"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3360;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DnuDIr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47955"/>
              <wp:effectExtent l="0" t="0" r="0" b="0"/>
              <wp:wrapNone/>
              <wp:docPr id="7"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4384;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Avw1on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47955"/>
              <wp:effectExtent l="0" t="0" r="0" b="0"/>
              <wp:wrapNone/>
              <wp:docPr id="8"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5408;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DxlmSFyQEAAI0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k5jd8LSwI8/vh9//j7+&#10;+sYukz19wIqq7sMdTCekMGkdWrDpTSrYkC09nC1VQ2SSkmV5dX254EzSVXn15nqxSJjF48cBML5X&#10;3rIU1BxoYtlIsf+IcSw9laRezt9qYygvKuP+ShBmyhSJ78gwRXHYDBPtjW8OpLWnYdfc0W5zZj44&#10;8jLtxSmAU7A5BbsAetsRtTLzwvBuF4lE5pY6jLBTY5pSVjdtVFqDP8+56vEvWj0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PGWZIX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14935" cy="147955"/>
              <wp:effectExtent l="0" t="0" r="0" b="0"/>
              <wp:wrapNone/>
              <wp:docPr id="9"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6432;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B9jLYT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14935" cy="147955"/>
              <wp:effectExtent l="0" t="0" r="0" b="0"/>
              <wp:wrapNone/>
              <wp:docPr id="10"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7456;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AbU+eFyQEAAI4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BPIEicsTfz44/vx5+/j&#10;r2/sMvnTB6yo7D7cwXRCCpPYoQWb3iSDDdnTw9lTNUQmKVmWV9eXC84kXZVXb64Xi4RZPH4cAON7&#10;5S1LQc2BRpadFPuPGMfSU0nq5fytNobyojLurwRhpkyR+I4MUxSHzTDR3vjmQGJ7mnbNHS03Z+aD&#10;IzPTYpwCOAWbU7ALoLcdUSszLwzvdpFIZG6pwwg7NaYxZXXTSqU9+POcqx5/o9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BtT54XJAQAAjg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14935" cy="147955"/>
              <wp:effectExtent l="0" t="0" r="0" b="0"/>
              <wp:wrapNone/>
              <wp:docPr id="11"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8480;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D1pq6EyQEAAI4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BNKzpywNPHjj+/Hn7+P&#10;v76xy+RPH7CisvtwB9MJKUxihxZsepMMNmRPD2dP1RCZpGRZXl1fLjiTdFVevbleLBJm8fhxAIzv&#10;lbcsBTUHGll2Uuw/YhxLTyWpl/O32hjKi8q4vxKEmTJF4jsyTFEcNsNEe+ObA4ntado1d7TcnJkP&#10;jsxMi3EK4BRsTsEugN52RK3MvDC820UikbmlDiPs1JjGlNVNK5X24M9zrnr8jV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PWmroTJAQAAjg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1244DF46"/>
    <w:multiLevelType w:val="singleLevel"/>
    <w:tmpl w:val="1244DF46"/>
    <w:lvl w:ilvl="0" w:tentative="0">
      <w:start w:val="4"/>
      <w:numFmt w:val="chineseCounting"/>
      <w:suff w:val="nothing"/>
      <w:lvlText w:val="（%1）"/>
      <w:lvlJc w:val="left"/>
      <w:rPr>
        <w:rFonts w:hint="eastAsia"/>
      </w:rPr>
    </w:lvl>
  </w:abstractNum>
  <w:abstractNum w:abstractNumId="4">
    <w:nsid w:val="5DBD638F"/>
    <w:multiLevelType w:val="singleLevel"/>
    <w:tmpl w:val="5DBD638F"/>
    <w:lvl w:ilvl="0" w:tentative="0">
      <w:start w:val="1"/>
      <w:numFmt w:val="decimal"/>
      <w:suff w:val="nothing"/>
      <w:lvlText w:val="（%1）"/>
      <w:lvlJc w:val="left"/>
    </w:lvl>
  </w:abstractNum>
  <w:abstractNum w:abstractNumId="5">
    <w:nsid w:val="61CBD056"/>
    <w:multiLevelType w:val="singleLevel"/>
    <w:tmpl w:val="61CBD056"/>
    <w:lvl w:ilvl="0" w:tentative="0">
      <w:start w:val="1"/>
      <w:numFmt w:val="decimal"/>
      <w:lvlText w:val="(%1)"/>
      <w:lvlJc w:val="left"/>
      <w:pPr>
        <w:ind w:left="425" w:hanging="425"/>
      </w:pPr>
      <w:rPr>
        <w:rFonts w:hint="default"/>
      </w:rPr>
    </w:lvl>
  </w:abstractNum>
  <w:abstractNum w:abstractNumId="6">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3"/>
  </w:num>
  <w:num w:numId="3">
    <w:abstractNumId w:val="1"/>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953D9C"/>
    <w:rsid w:val="012F3782"/>
    <w:rsid w:val="01B85CDA"/>
    <w:rsid w:val="01D312A0"/>
    <w:rsid w:val="020F7B7E"/>
    <w:rsid w:val="025E1CD2"/>
    <w:rsid w:val="02987B74"/>
    <w:rsid w:val="029E55D3"/>
    <w:rsid w:val="032D4C02"/>
    <w:rsid w:val="035148F2"/>
    <w:rsid w:val="035D45A8"/>
    <w:rsid w:val="03650E8B"/>
    <w:rsid w:val="03932686"/>
    <w:rsid w:val="03B60A82"/>
    <w:rsid w:val="03B650ED"/>
    <w:rsid w:val="048A76BA"/>
    <w:rsid w:val="051E6717"/>
    <w:rsid w:val="059F0AE9"/>
    <w:rsid w:val="05E256B5"/>
    <w:rsid w:val="06190150"/>
    <w:rsid w:val="062C0D8A"/>
    <w:rsid w:val="064A07A5"/>
    <w:rsid w:val="069F65D6"/>
    <w:rsid w:val="07010352"/>
    <w:rsid w:val="07012E2A"/>
    <w:rsid w:val="073E6F3C"/>
    <w:rsid w:val="07840D87"/>
    <w:rsid w:val="07992243"/>
    <w:rsid w:val="07B62681"/>
    <w:rsid w:val="083054CD"/>
    <w:rsid w:val="086B709C"/>
    <w:rsid w:val="087D7F38"/>
    <w:rsid w:val="08892439"/>
    <w:rsid w:val="08A74FB5"/>
    <w:rsid w:val="08E27267"/>
    <w:rsid w:val="08F5187C"/>
    <w:rsid w:val="090D2924"/>
    <w:rsid w:val="095C5D9F"/>
    <w:rsid w:val="0A1C57C7"/>
    <w:rsid w:val="0AAC4CEF"/>
    <w:rsid w:val="0AC06A5E"/>
    <w:rsid w:val="0AE07FCA"/>
    <w:rsid w:val="0AE94FA3"/>
    <w:rsid w:val="0B285948"/>
    <w:rsid w:val="0B8511CF"/>
    <w:rsid w:val="0B946386"/>
    <w:rsid w:val="0BB91846"/>
    <w:rsid w:val="0C3833A2"/>
    <w:rsid w:val="0C3B3D7C"/>
    <w:rsid w:val="0C954748"/>
    <w:rsid w:val="0CBD0903"/>
    <w:rsid w:val="0D5119C1"/>
    <w:rsid w:val="0D531267"/>
    <w:rsid w:val="0D6A48DF"/>
    <w:rsid w:val="0DA30469"/>
    <w:rsid w:val="0E2426C1"/>
    <w:rsid w:val="0E874573"/>
    <w:rsid w:val="0EAA6A76"/>
    <w:rsid w:val="0EB41C7B"/>
    <w:rsid w:val="0EDC767D"/>
    <w:rsid w:val="0EE11876"/>
    <w:rsid w:val="0EE669F0"/>
    <w:rsid w:val="0F5120AB"/>
    <w:rsid w:val="0F5507D6"/>
    <w:rsid w:val="0F6918F1"/>
    <w:rsid w:val="0FA22032"/>
    <w:rsid w:val="0FC332A8"/>
    <w:rsid w:val="0FCA431A"/>
    <w:rsid w:val="10066A65"/>
    <w:rsid w:val="110179E3"/>
    <w:rsid w:val="113C4C33"/>
    <w:rsid w:val="11614615"/>
    <w:rsid w:val="11694621"/>
    <w:rsid w:val="116A5B28"/>
    <w:rsid w:val="11C45325"/>
    <w:rsid w:val="11C955FD"/>
    <w:rsid w:val="12B2465F"/>
    <w:rsid w:val="12F26B9C"/>
    <w:rsid w:val="13337B71"/>
    <w:rsid w:val="135C5A87"/>
    <w:rsid w:val="13645F7C"/>
    <w:rsid w:val="13654EEB"/>
    <w:rsid w:val="138D5A83"/>
    <w:rsid w:val="13AA087C"/>
    <w:rsid w:val="14530EC6"/>
    <w:rsid w:val="14553B17"/>
    <w:rsid w:val="14580115"/>
    <w:rsid w:val="14743FE0"/>
    <w:rsid w:val="148C3C1A"/>
    <w:rsid w:val="14E056CD"/>
    <w:rsid w:val="15AA2A5F"/>
    <w:rsid w:val="15AE7AEB"/>
    <w:rsid w:val="15E4523E"/>
    <w:rsid w:val="163668C2"/>
    <w:rsid w:val="17667DE9"/>
    <w:rsid w:val="176A436C"/>
    <w:rsid w:val="178D198F"/>
    <w:rsid w:val="179730F3"/>
    <w:rsid w:val="17A55A47"/>
    <w:rsid w:val="18655F01"/>
    <w:rsid w:val="188A7548"/>
    <w:rsid w:val="18E92D3A"/>
    <w:rsid w:val="18FD4D5E"/>
    <w:rsid w:val="196B4343"/>
    <w:rsid w:val="1975792A"/>
    <w:rsid w:val="1996224F"/>
    <w:rsid w:val="19BF1E22"/>
    <w:rsid w:val="1A3C145A"/>
    <w:rsid w:val="1AA17FB1"/>
    <w:rsid w:val="1AFC4CEC"/>
    <w:rsid w:val="1B21665E"/>
    <w:rsid w:val="1B5329C3"/>
    <w:rsid w:val="1BC459FB"/>
    <w:rsid w:val="1C1B56C1"/>
    <w:rsid w:val="1C4619E3"/>
    <w:rsid w:val="1C4A1A87"/>
    <w:rsid w:val="1C7F705E"/>
    <w:rsid w:val="1C8D2C11"/>
    <w:rsid w:val="1CCA1903"/>
    <w:rsid w:val="1CD05E0F"/>
    <w:rsid w:val="1D14783F"/>
    <w:rsid w:val="1DD73279"/>
    <w:rsid w:val="1DE013E4"/>
    <w:rsid w:val="1DF00C2C"/>
    <w:rsid w:val="1E2F53D8"/>
    <w:rsid w:val="1EEE7042"/>
    <w:rsid w:val="1F1C595D"/>
    <w:rsid w:val="1F523485"/>
    <w:rsid w:val="1F9033E3"/>
    <w:rsid w:val="1FAF039A"/>
    <w:rsid w:val="1FFE2404"/>
    <w:rsid w:val="20096C46"/>
    <w:rsid w:val="20D54F8B"/>
    <w:rsid w:val="2102542F"/>
    <w:rsid w:val="21130DC0"/>
    <w:rsid w:val="214E22A7"/>
    <w:rsid w:val="215605AB"/>
    <w:rsid w:val="216852CD"/>
    <w:rsid w:val="218A14B4"/>
    <w:rsid w:val="21BE0F4D"/>
    <w:rsid w:val="21E12709"/>
    <w:rsid w:val="222B45B4"/>
    <w:rsid w:val="22355C2D"/>
    <w:rsid w:val="22AA7406"/>
    <w:rsid w:val="2378095B"/>
    <w:rsid w:val="238A6013"/>
    <w:rsid w:val="23E33924"/>
    <w:rsid w:val="24A254AD"/>
    <w:rsid w:val="24F62BAE"/>
    <w:rsid w:val="25514C22"/>
    <w:rsid w:val="264B2324"/>
    <w:rsid w:val="26C06B7A"/>
    <w:rsid w:val="26F070A5"/>
    <w:rsid w:val="26FD4B9E"/>
    <w:rsid w:val="274666E1"/>
    <w:rsid w:val="28A65563"/>
    <w:rsid w:val="290135E4"/>
    <w:rsid w:val="2906507E"/>
    <w:rsid w:val="290D79C1"/>
    <w:rsid w:val="29347855"/>
    <w:rsid w:val="29890D0F"/>
    <w:rsid w:val="29E01141"/>
    <w:rsid w:val="2A1A4A18"/>
    <w:rsid w:val="2A465F84"/>
    <w:rsid w:val="2A9E14C9"/>
    <w:rsid w:val="2AE7529F"/>
    <w:rsid w:val="2B5E72FD"/>
    <w:rsid w:val="2B966BC3"/>
    <w:rsid w:val="2C11611D"/>
    <w:rsid w:val="2C543E8F"/>
    <w:rsid w:val="2C714F3D"/>
    <w:rsid w:val="2C7F14A1"/>
    <w:rsid w:val="2C9E1BE4"/>
    <w:rsid w:val="2CD45478"/>
    <w:rsid w:val="2D3A0DF6"/>
    <w:rsid w:val="2D595FCE"/>
    <w:rsid w:val="2DB01173"/>
    <w:rsid w:val="2DC03C5B"/>
    <w:rsid w:val="2DE75388"/>
    <w:rsid w:val="2E0E333C"/>
    <w:rsid w:val="2E8F5DBB"/>
    <w:rsid w:val="2ECA412E"/>
    <w:rsid w:val="2ECB14C4"/>
    <w:rsid w:val="2EF97A69"/>
    <w:rsid w:val="2FBB2009"/>
    <w:rsid w:val="3038610E"/>
    <w:rsid w:val="3060195A"/>
    <w:rsid w:val="30B822FE"/>
    <w:rsid w:val="31207919"/>
    <w:rsid w:val="31AD5D77"/>
    <w:rsid w:val="31EC2828"/>
    <w:rsid w:val="320F1351"/>
    <w:rsid w:val="3247040D"/>
    <w:rsid w:val="32B31CDC"/>
    <w:rsid w:val="32D81BB9"/>
    <w:rsid w:val="331D184C"/>
    <w:rsid w:val="33D760FF"/>
    <w:rsid w:val="344B1CDB"/>
    <w:rsid w:val="34677222"/>
    <w:rsid w:val="352F17E9"/>
    <w:rsid w:val="359572B3"/>
    <w:rsid w:val="359E7780"/>
    <w:rsid w:val="35E6686D"/>
    <w:rsid w:val="3696566D"/>
    <w:rsid w:val="369A6387"/>
    <w:rsid w:val="36F77EC6"/>
    <w:rsid w:val="376917E5"/>
    <w:rsid w:val="380F5C07"/>
    <w:rsid w:val="38321E16"/>
    <w:rsid w:val="388D0662"/>
    <w:rsid w:val="38AF2F46"/>
    <w:rsid w:val="38C00788"/>
    <w:rsid w:val="38CE5AC2"/>
    <w:rsid w:val="38ED58A0"/>
    <w:rsid w:val="39E427C1"/>
    <w:rsid w:val="39F310AA"/>
    <w:rsid w:val="3A522CCD"/>
    <w:rsid w:val="3A756D8D"/>
    <w:rsid w:val="3A9956A6"/>
    <w:rsid w:val="3AB47EAF"/>
    <w:rsid w:val="3AD212C8"/>
    <w:rsid w:val="3B903FA6"/>
    <w:rsid w:val="3BA2576B"/>
    <w:rsid w:val="3BBA274A"/>
    <w:rsid w:val="3C3B4747"/>
    <w:rsid w:val="3D0A0C0E"/>
    <w:rsid w:val="3D580050"/>
    <w:rsid w:val="3D8B0592"/>
    <w:rsid w:val="3D933369"/>
    <w:rsid w:val="3DA1086D"/>
    <w:rsid w:val="3E806C6F"/>
    <w:rsid w:val="3E930A34"/>
    <w:rsid w:val="3EA37700"/>
    <w:rsid w:val="3EF97CE8"/>
    <w:rsid w:val="3F7153F9"/>
    <w:rsid w:val="3FA72572"/>
    <w:rsid w:val="3FB9191F"/>
    <w:rsid w:val="40137B3D"/>
    <w:rsid w:val="40326239"/>
    <w:rsid w:val="404001EF"/>
    <w:rsid w:val="40643187"/>
    <w:rsid w:val="40D734F8"/>
    <w:rsid w:val="40E1035D"/>
    <w:rsid w:val="417A6F5E"/>
    <w:rsid w:val="423D7815"/>
    <w:rsid w:val="428B4E0F"/>
    <w:rsid w:val="42EE5A37"/>
    <w:rsid w:val="4342152E"/>
    <w:rsid w:val="436670EC"/>
    <w:rsid w:val="43D360C7"/>
    <w:rsid w:val="447B58D7"/>
    <w:rsid w:val="44CE0D05"/>
    <w:rsid w:val="45147481"/>
    <w:rsid w:val="451575D3"/>
    <w:rsid w:val="45E81197"/>
    <w:rsid w:val="465A136E"/>
    <w:rsid w:val="46877406"/>
    <w:rsid w:val="46965745"/>
    <w:rsid w:val="46DE3369"/>
    <w:rsid w:val="46E90CF3"/>
    <w:rsid w:val="471208B6"/>
    <w:rsid w:val="4730511F"/>
    <w:rsid w:val="478B183F"/>
    <w:rsid w:val="47937AE0"/>
    <w:rsid w:val="48070ADC"/>
    <w:rsid w:val="48620B48"/>
    <w:rsid w:val="48E6272D"/>
    <w:rsid w:val="491237A9"/>
    <w:rsid w:val="49695F01"/>
    <w:rsid w:val="497D499A"/>
    <w:rsid w:val="49C97538"/>
    <w:rsid w:val="4A11580F"/>
    <w:rsid w:val="4A1A5D74"/>
    <w:rsid w:val="4A556EC5"/>
    <w:rsid w:val="4A55736A"/>
    <w:rsid w:val="4AFA44A5"/>
    <w:rsid w:val="4B0D0A00"/>
    <w:rsid w:val="4B2C08E7"/>
    <w:rsid w:val="4B427A3B"/>
    <w:rsid w:val="4B4C5E55"/>
    <w:rsid w:val="4B747426"/>
    <w:rsid w:val="4B781FCF"/>
    <w:rsid w:val="4BA0769B"/>
    <w:rsid w:val="4BE46D25"/>
    <w:rsid w:val="4BEB6DBA"/>
    <w:rsid w:val="4C296C8E"/>
    <w:rsid w:val="4C2F3E16"/>
    <w:rsid w:val="4C542C15"/>
    <w:rsid w:val="4C915F84"/>
    <w:rsid w:val="4CA3296A"/>
    <w:rsid w:val="4D615164"/>
    <w:rsid w:val="4D752558"/>
    <w:rsid w:val="4DB841F3"/>
    <w:rsid w:val="4DE86E96"/>
    <w:rsid w:val="4DF67662"/>
    <w:rsid w:val="4E314AD3"/>
    <w:rsid w:val="4E3639B3"/>
    <w:rsid w:val="4E7202A3"/>
    <w:rsid w:val="4EDC0D9D"/>
    <w:rsid w:val="4F061B38"/>
    <w:rsid w:val="4F2002A2"/>
    <w:rsid w:val="4F562285"/>
    <w:rsid w:val="4FDF1F0B"/>
    <w:rsid w:val="4FF66767"/>
    <w:rsid w:val="50024740"/>
    <w:rsid w:val="5048269F"/>
    <w:rsid w:val="504A345E"/>
    <w:rsid w:val="5076490F"/>
    <w:rsid w:val="512037B7"/>
    <w:rsid w:val="514E10F6"/>
    <w:rsid w:val="516440E9"/>
    <w:rsid w:val="51FE1619"/>
    <w:rsid w:val="521D6EFF"/>
    <w:rsid w:val="529B4DD8"/>
    <w:rsid w:val="52A91EB3"/>
    <w:rsid w:val="52BA2046"/>
    <w:rsid w:val="530D6D8F"/>
    <w:rsid w:val="534765D1"/>
    <w:rsid w:val="53A4045D"/>
    <w:rsid w:val="53DF697E"/>
    <w:rsid w:val="541C50CC"/>
    <w:rsid w:val="542C086C"/>
    <w:rsid w:val="542F55B8"/>
    <w:rsid w:val="54820367"/>
    <w:rsid w:val="54837309"/>
    <w:rsid w:val="54A4554C"/>
    <w:rsid w:val="55BA258D"/>
    <w:rsid w:val="561D3D2D"/>
    <w:rsid w:val="569A2FA8"/>
    <w:rsid w:val="569F2839"/>
    <w:rsid w:val="56CC69AE"/>
    <w:rsid w:val="576C5EFE"/>
    <w:rsid w:val="57AA4790"/>
    <w:rsid w:val="57F80AB2"/>
    <w:rsid w:val="582A632A"/>
    <w:rsid w:val="583519EB"/>
    <w:rsid w:val="58D93E18"/>
    <w:rsid w:val="58F76C08"/>
    <w:rsid w:val="596345C4"/>
    <w:rsid w:val="59BB0341"/>
    <w:rsid w:val="59BB7545"/>
    <w:rsid w:val="59DB32DA"/>
    <w:rsid w:val="5A9A1469"/>
    <w:rsid w:val="5A9C7376"/>
    <w:rsid w:val="5B1A73DD"/>
    <w:rsid w:val="5B7B72E5"/>
    <w:rsid w:val="5BE83C02"/>
    <w:rsid w:val="5C02341C"/>
    <w:rsid w:val="5C4C650B"/>
    <w:rsid w:val="5CD30445"/>
    <w:rsid w:val="5D1B29FF"/>
    <w:rsid w:val="5D2101CC"/>
    <w:rsid w:val="5D86637E"/>
    <w:rsid w:val="5D885990"/>
    <w:rsid w:val="5D8F7FDF"/>
    <w:rsid w:val="5EA309D1"/>
    <w:rsid w:val="5EB44EE4"/>
    <w:rsid w:val="5ECA1515"/>
    <w:rsid w:val="5F28035F"/>
    <w:rsid w:val="5F3F6522"/>
    <w:rsid w:val="5F7418E2"/>
    <w:rsid w:val="5F820E88"/>
    <w:rsid w:val="5F916233"/>
    <w:rsid w:val="5F982816"/>
    <w:rsid w:val="5FF33BCD"/>
    <w:rsid w:val="5FF942C4"/>
    <w:rsid w:val="609603D4"/>
    <w:rsid w:val="60B25C51"/>
    <w:rsid w:val="60DA0BF8"/>
    <w:rsid w:val="60F32D86"/>
    <w:rsid w:val="610C48F6"/>
    <w:rsid w:val="61334E5D"/>
    <w:rsid w:val="615B6EC4"/>
    <w:rsid w:val="61B5380E"/>
    <w:rsid w:val="61D36131"/>
    <w:rsid w:val="61EA65C1"/>
    <w:rsid w:val="621517BC"/>
    <w:rsid w:val="62404A8B"/>
    <w:rsid w:val="624C2342"/>
    <w:rsid w:val="624F1172"/>
    <w:rsid w:val="62A82630"/>
    <w:rsid w:val="63107336"/>
    <w:rsid w:val="63E46D96"/>
    <w:rsid w:val="63FE1843"/>
    <w:rsid w:val="640A431E"/>
    <w:rsid w:val="64525A3D"/>
    <w:rsid w:val="64A12DC5"/>
    <w:rsid w:val="64B83CD8"/>
    <w:rsid w:val="64C003BC"/>
    <w:rsid w:val="656230AA"/>
    <w:rsid w:val="65970B6C"/>
    <w:rsid w:val="65B50EDE"/>
    <w:rsid w:val="66507267"/>
    <w:rsid w:val="66661622"/>
    <w:rsid w:val="66A82278"/>
    <w:rsid w:val="66A85FB5"/>
    <w:rsid w:val="66FC24CA"/>
    <w:rsid w:val="67184424"/>
    <w:rsid w:val="676A016D"/>
    <w:rsid w:val="67DC7AF8"/>
    <w:rsid w:val="67F51E74"/>
    <w:rsid w:val="68614E91"/>
    <w:rsid w:val="68887C1C"/>
    <w:rsid w:val="68C94619"/>
    <w:rsid w:val="68D45F2D"/>
    <w:rsid w:val="693410C2"/>
    <w:rsid w:val="69B07103"/>
    <w:rsid w:val="69B17813"/>
    <w:rsid w:val="69E50BBC"/>
    <w:rsid w:val="6A20773A"/>
    <w:rsid w:val="6A6119AC"/>
    <w:rsid w:val="6AE2305E"/>
    <w:rsid w:val="6B817108"/>
    <w:rsid w:val="6BB43DF4"/>
    <w:rsid w:val="6BE6607E"/>
    <w:rsid w:val="6BEF307E"/>
    <w:rsid w:val="6C5850C7"/>
    <w:rsid w:val="6CC951A5"/>
    <w:rsid w:val="6D256EC2"/>
    <w:rsid w:val="6D6852D7"/>
    <w:rsid w:val="6E3014F3"/>
    <w:rsid w:val="6E435CFB"/>
    <w:rsid w:val="6EAA5C29"/>
    <w:rsid w:val="6F06600E"/>
    <w:rsid w:val="6F510522"/>
    <w:rsid w:val="703C13EF"/>
    <w:rsid w:val="706C23D6"/>
    <w:rsid w:val="70A30AC2"/>
    <w:rsid w:val="70B372F7"/>
    <w:rsid w:val="70C20053"/>
    <w:rsid w:val="710B2946"/>
    <w:rsid w:val="71536830"/>
    <w:rsid w:val="720F5043"/>
    <w:rsid w:val="72AA7CFF"/>
    <w:rsid w:val="72AD0311"/>
    <w:rsid w:val="72FD76D1"/>
    <w:rsid w:val="73102258"/>
    <w:rsid w:val="735A54C4"/>
    <w:rsid w:val="739B50BA"/>
    <w:rsid w:val="73B07597"/>
    <w:rsid w:val="73EB1F44"/>
    <w:rsid w:val="73F21941"/>
    <w:rsid w:val="7437049F"/>
    <w:rsid w:val="74424B41"/>
    <w:rsid w:val="748506AB"/>
    <w:rsid w:val="74B72503"/>
    <w:rsid w:val="7533363D"/>
    <w:rsid w:val="75716C61"/>
    <w:rsid w:val="760133A5"/>
    <w:rsid w:val="76CB7A78"/>
    <w:rsid w:val="770938C4"/>
    <w:rsid w:val="771D2184"/>
    <w:rsid w:val="78484F3C"/>
    <w:rsid w:val="785A63FA"/>
    <w:rsid w:val="79571515"/>
    <w:rsid w:val="79B31B8F"/>
    <w:rsid w:val="7AB8567A"/>
    <w:rsid w:val="7B4B773E"/>
    <w:rsid w:val="7B53635F"/>
    <w:rsid w:val="7B6B7700"/>
    <w:rsid w:val="7BDC092D"/>
    <w:rsid w:val="7D162D60"/>
    <w:rsid w:val="7D9962E7"/>
    <w:rsid w:val="7DE933E5"/>
    <w:rsid w:val="7E0B3025"/>
    <w:rsid w:val="7EB448B0"/>
    <w:rsid w:val="7EE944A3"/>
    <w:rsid w:val="7EF15156"/>
    <w:rsid w:val="7F067FA3"/>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character" w:customStyle="1" w:styleId="15">
    <w:name w:val="font21"/>
    <w:basedOn w:val="10"/>
    <w:qFormat/>
    <w:uiPriority w:val="0"/>
    <w:rPr>
      <w:rFonts w:hint="default" w:ascii="Times New Roman" w:hAnsi="Times New Roman" w:cs="Times New Roman"/>
      <w:color w:val="000000"/>
      <w:sz w:val="22"/>
      <w:szCs w:val="22"/>
      <w:u w:val="none"/>
    </w:rPr>
  </w:style>
  <w:style w:type="character" w:customStyle="1" w:styleId="16">
    <w:name w:val="font11"/>
    <w:basedOn w:val="10"/>
    <w:qFormat/>
    <w:uiPriority w:val="0"/>
    <w:rPr>
      <w:rFonts w:hint="eastAsia" w:ascii="宋体" w:hAnsi="宋体" w:eastAsia="宋体" w:cs="宋体"/>
      <w:color w:val="000000"/>
      <w:sz w:val="22"/>
      <w:szCs w:val="22"/>
      <w:u w:val="none"/>
    </w:rPr>
  </w:style>
  <w:style w:type="paragraph" w:customStyle="1" w:styleId="17">
    <w:name w:val="列表段落1"/>
    <w:basedOn w:val="1"/>
    <w:qFormat/>
    <w:uiPriority w:val="34"/>
    <w:pPr>
      <w:widowControl/>
      <w:ind w:firstLine="420"/>
      <w:jc w:val="left"/>
    </w:pPr>
    <w:rPr>
      <w:rFonts w:ascii="Calibri" w:hAnsi="Calibri" w:eastAsia="宋体" w:cs="Calibri"/>
      <w:color w:val="auto"/>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3259</Words>
  <Characters>3560</Characters>
  <Lines>0</Lines>
  <Paragraphs>0</Paragraphs>
  <TotalTime>3</TotalTime>
  <ScaleCrop>false</ScaleCrop>
  <LinksUpToDate>false</LinksUpToDate>
  <CharactersWithSpaces>3840</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Len-November 唐小宇</cp:lastModifiedBy>
  <cp:lastPrinted>2025-11-11T02:23:00Z</cp:lastPrinted>
  <dcterms:modified xsi:type="dcterms:W3CDTF">2025-12-08T06:39:02Z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FDADF25CEC8C4880A4454F13E01B35A3</vt:lpwstr>
  </property>
  <property fmtid="{D5CDD505-2E9C-101B-9397-08002B2CF9AE}" pid="4" name="KSOTemplateDocerSaveRecord">
    <vt:lpwstr>eyJoZGlkIjoiMGIyMzEwMTA4N2FlMWVhNDM2NGY3MjNjMmI2YTM0ODUiLCJ1c2VySWQiOiIxNTcyODEwNzcyIn0=</vt:lpwstr>
  </property>
</Properties>
</file>