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商业街区A1号楼</w:t>
      </w:r>
      <w:r>
        <w:rPr>
          <w:rFonts w:hint="eastAsia" w:ascii="Times New Roman" w:hAnsi="Times New Roman" w:eastAsia="微软雅黑" w:cs="Times New Roman"/>
          <w:sz w:val="36"/>
          <w:szCs w:val="36"/>
          <w:highlight w:val="none"/>
          <w:lang w:val="en-US" w:eastAsia="zh-CN"/>
        </w:rPr>
        <w:t>1</w:t>
      </w:r>
      <w:r>
        <w:rPr>
          <w:rFonts w:hint="default" w:ascii="Times New Roman" w:hAnsi="Times New Roman" w:eastAsia="微软雅黑" w:cs="Times New Roman"/>
          <w:sz w:val="36"/>
          <w:szCs w:val="36"/>
          <w:highlight w:val="none"/>
          <w:lang w:val="en-US" w:eastAsia="zh-CN"/>
        </w:rPr>
        <w:t>层</w:t>
      </w:r>
      <w:r>
        <w:rPr>
          <w:rFonts w:hint="eastAsia" w:ascii="Times New Roman" w:hAnsi="Times New Roman" w:eastAsia="微软雅黑" w:cs="Times New Roman"/>
          <w:sz w:val="36"/>
          <w:szCs w:val="36"/>
          <w:highlight w:val="none"/>
          <w:lang w:val="en-US" w:eastAsia="zh-CN"/>
        </w:rPr>
        <w:t>137</w:t>
      </w:r>
      <w:r>
        <w:rPr>
          <w:rFonts w:hint="default" w:ascii="Times New Roman" w:hAnsi="Times New Roman" w:eastAsia="微软雅黑" w:cs="Times New Roman"/>
          <w:sz w:val="36"/>
          <w:szCs w:val="36"/>
          <w:highlight w:val="none"/>
          <w:lang w:val="en-US" w:eastAsia="zh-CN"/>
        </w:rPr>
        <w:t>号商铺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已于</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四川旅投漫话世界旅游开发有限责任公司拟对天府国际动漫城商业街区A1号楼</w:t>
      </w:r>
      <w:r>
        <w:rPr>
          <w:rFonts w:hint="eastAsia" w:ascii="Times New Roman" w:hAnsi="Times New Roman" w:eastAsia="方正仿宋_GB2312" w:cs="Times New Roman"/>
          <w:sz w:val="28"/>
          <w:szCs w:val="28"/>
          <w:highlight w:val="none"/>
          <w:lang w:val="en-US" w:eastAsia="zh-CN"/>
        </w:rPr>
        <w:t>1</w:t>
      </w:r>
      <w:r>
        <w:rPr>
          <w:rFonts w:hint="default" w:ascii="Times New Roman" w:hAnsi="Times New Roman" w:eastAsia="方正仿宋_GB2312" w:cs="Times New Roman"/>
          <w:sz w:val="28"/>
          <w:szCs w:val="28"/>
          <w:highlight w:val="none"/>
        </w:rPr>
        <w:t>层</w:t>
      </w:r>
      <w:r>
        <w:rPr>
          <w:rFonts w:hint="eastAsia" w:ascii="Times New Roman" w:hAnsi="Times New Roman" w:eastAsia="方正仿宋_GB2312" w:cs="Times New Roman"/>
          <w:sz w:val="28"/>
          <w:szCs w:val="28"/>
          <w:highlight w:val="none"/>
          <w:lang w:val="en-US" w:eastAsia="zh-CN"/>
        </w:rPr>
        <w:t>137</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东紫路173号1栋附137</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商铺合作方进行公开招募，通过综合评议的方式确定合作方。现诚邀符合要求的意向合作方参加本项目的公开招募，并将有关事项公告如下：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b w:val="0"/>
          <w:bCs w:val="0"/>
          <w:sz w:val="28"/>
          <w:szCs w:val="28"/>
          <w:highlight w:val="none"/>
          <w:u w:val="single"/>
          <w:lang w:val="en-US" w:eastAsia="zh-CN"/>
        </w:rPr>
        <w:t xml:space="preserve"> A1号楼</w:t>
      </w:r>
      <w:r>
        <w:rPr>
          <w:rFonts w:hint="eastAsia" w:ascii="Times New Roman" w:hAnsi="Times New Roman" w:eastAsia="方正仿宋_GB2312" w:cs="Times New Roman"/>
          <w:b w:val="0"/>
          <w:bCs w:val="0"/>
          <w:sz w:val="28"/>
          <w:szCs w:val="28"/>
          <w:highlight w:val="none"/>
          <w:u w:val="single"/>
          <w:lang w:val="en-US" w:eastAsia="zh-CN"/>
        </w:rPr>
        <w:t>1</w:t>
      </w:r>
      <w:r>
        <w:rPr>
          <w:rFonts w:hint="default" w:ascii="Times New Roman" w:hAnsi="Times New Roman" w:eastAsia="方正仿宋_GB2312" w:cs="Times New Roman"/>
          <w:b w:val="0"/>
          <w:bCs w:val="0"/>
          <w:sz w:val="28"/>
          <w:szCs w:val="28"/>
          <w:highlight w:val="none"/>
          <w:u w:val="single"/>
          <w:lang w:val="en-US" w:eastAsia="zh-CN"/>
        </w:rPr>
        <w:t>层</w:t>
      </w:r>
      <w:r>
        <w:rPr>
          <w:rFonts w:hint="eastAsia" w:ascii="Times New Roman" w:hAnsi="Times New Roman" w:eastAsia="方正仿宋_GB2312" w:cs="Times New Roman"/>
          <w:b w:val="0"/>
          <w:bCs w:val="0"/>
          <w:sz w:val="28"/>
          <w:szCs w:val="28"/>
          <w:highlight w:val="none"/>
          <w:u w:val="single"/>
          <w:lang w:val="en-US" w:eastAsia="zh-CN"/>
        </w:rPr>
        <w:t>137</w:t>
      </w:r>
      <w:r>
        <w:rPr>
          <w:rFonts w:hint="default" w:ascii="Times New Roman" w:hAnsi="Times New Roman" w:eastAsia="方正仿宋_GB2312" w:cs="Times New Roman"/>
          <w:b w:val="0"/>
          <w:bCs w:val="0"/>
          <w:sz w:val="28"/>
          <w:szCs w:val="28"/>
          <w:highlight w:val="none"/>
          <w:u w:val="single"/>
          <w:lang w:val="en-US" w:eastAsia="zh-CN"/>
        </w:rPr>
        <w:t>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2.地理位置:四川省成都市成华区荆泰二路353号（详见附件2：地图）；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84.44</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val="en-US" w:eastAsia="zh-CN"/>
        </w:rPr>
        <w:t>现状交付。</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动漫零售类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727"/>
        <w:gridCol w:w="1134"/>
        <w:gridCol w:w="1087"/>
        <w:gridCol w:w="917"/>
        <w:gridCol w:w="782"/>
        <w:gridCol w:w="1040"/>
        <w:gridCol w:w="912"/>
        <w:gridCol w:w="91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3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27"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134"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0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1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78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040"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12"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12"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12"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83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6"/>
                <w:szCs w:val="16"/>
                <w:highlight w:val="none"/>
                <w:lang w:val="en-US" w:eastAsia="zh-CN"/>
              </w:rPr>
              <w:t>A1号楼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137</w:t>
            </w:r>
            <w:r>
              <w:rPr>
                <w:rFonts w:hint="default" w:ascii="Times New Roman" w:hAnsi="Times New Roman" w:eastAsia="方正仿宋_GB2312" w:cs="Times New Roman"/>
                <w:sz w:val="16"/>
                <w:szCs w:val="16"/>
                <w:highlight w:val="none"/>
                <w:lang w:val="en-US" w:eastAsia="zh-CN"/>
              </w:rPr>
              <w:t>号商铺</w:t>
            </w:r>
          </w:p>
        </w:tc>
        <w:tc>
          <w:tcPr>
            <w:tcW w:w="72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84.44㎡</w:t>
            </w:r>
          </w:p>
        </w:tc>
        <w:tc>
          <w:tcPr>
            <w:tcW w:w="1134"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08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2个月租金</w:t>
            </w:r>
          </w:p>
        </w:tc>
        <w:tc>
          <w:tcPr>
            <w:tcW w:w="91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纯租赁</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rPr>
              <w:t>年</w:t>
            </w:r>
          </w:p>
        </w:tc>
        <w:tc>
          <w:tcPr>
            <w:tcW w:w="1040"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128</w:t>
            </w:r>
          </w:p>
        </w:tc>
        <w:tc>
          <w:tcPr>
            <w:tcW w:w="91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lang w:val="en-US" w:eastAsia="zh-CN"/>
              </w:rPr>
              <w:t>个月</w:t>
            </w:r>
          </w:p>
        </w:tc>
        <w:tc>
          <w:tcPr>
            <w:tcW w:w="91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1个月</w:t>
            </w:r>
          </w:p>
        </w:tc>
        <w:tc>
          <w:tcPr>
            <w:tcW w:w="912" w:type="dxa"/>
            <w:vAlign w:val="center"/>
          </w:tcPr>
          <w:p>
            <w:pPr>
              <w:spacing w:line="480" w:lineRule="auto"/>
              <w:jc w:val="center"/>
              <w:rPr>
                <w:rFonts w:hint="eastAsia"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无</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19</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18</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11</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19</w:t>
      </w:r>
      <w:r>
        <w:rPr>
          <w:rFonts w:hint="default" w:ascii="Times New Roman" w:hAnsi="Times New Roman" w:eastAsia="方正仿宋_GB2312" w:cs="Times New Roman"/>
          <w:sz w:val="28"/>
          <w:szCs w:val="28"/>
          <w:highlight w:val="none"/>
        </w:rPr>
        <w:t>日上午 09:30 前至综合评议</w:t>
      </w:r>
      <w:bookmarkStart w:id="0" w:name="_GoBack"/>
      <w:bookmarkEnd w:id="0"/>
      <w:r>
        <w:rPr>
          <w:rFonts w:hint="default" w:ascii="Times New Roman" w:hAnsi="Times New Roman" w:eastAsia="方正仿宋_GB2312" w:cs="Times New Roman"/>
          <w:sz w:val="28"/>
          <w:szCs w:val="28"/>
          <w:highlight w:val="none"/>
        </w:rPr>
        <w:t>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ind w:firstLine="56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附件4：合同模板</w:t>
      </w:r>
    </w:p>
    <w:p>
      <w:pPr>
        <w:spacing w:line="576" w:lineRule="exact"/>
        <w:ind w:firstLine="560" w:firstLineChars="200"/>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002280" cy="1669415"/>
            <wp:effectExtent l="0" t="0" r="7620" b="698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6"/>
                    <a:stretch>
                      <a:fillRect/>
                    </a:stretch>
                  </pic:blipFill>
                  <pic:spPr>
                    <a:xfrm>
                      <a:off x="0" y="0"/>
                      <a:ext cx="3002280" cy="166941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店铺位置：</w:t>
      </w:r>
    </w:p>
    <w:p>
      <w:pPr>
        <w:rPr>
          <w:rFonts w:hint="eastAsia" w:ascii="Times New Roman" w:hAnsi="Times New Roman" w:cs="Times New Roman"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1758950</wp:posOffset>
                </wp:positionV>
                <wp:extent cx="79375" cy="76200"/>
                <wp:effectExtent l="9525" t="9525" r="25400" b="9525"/>
                <wp:wrapNone/>
                <wp:docPr id="13" name="矩形 13"/>
                <wp:cNvGraphicFramePr/>
                <a:graphic xmlns:a="http://schemas.openxmlformats.org/drawingml/2006/main">
                  <a:graphicData uri="http://schemas.microsoft.com/office/word/2010/wordprocessingShape">
                    <wps:wsp>
                      <wps:cNvSpPr/>
                      <wps:spPr>
                        <a:xfrm flipH="1" flipV="1">
                          <a:off x="0" y="0"/>
                          <a:ext cx="79375" cy="76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 y;margin-left:127.5pt;margin-top:138.5pt;height:6pt;width:6.25pt;z-index:251660288;v-text-anchor:middle;mso-width-relative:page;mso-height-relative:page;" filled="f" stroked="t" coordsize="21600,21600" o:gfxdata="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7YHjzYAAAACwEAAA8AAAAAAAAAAQAgAAAAIgAAAGRycy9kb3du&#10;cmV2LnhtbFBLAQIUABQAAAAIAIdO4kCndFEGcQIAAN4EAAAOAAAAAAAAAAEAIAAAACcBAABkcnMv&#10;ZTJvRG9jLnhtbFBLBQYAAAAABgAGAFkBAAAKBgAAAAA=&#10;">
                <v:fill on="f" focussize="0,0"/>
                <v:stroke weight="1.5pt" color="#FF0000 [3204]" miterlimit="8" joinstyle="miter"/>
                <v:imagedata o:title=""/>
                <o:lock v:ext="edit" aspectratio="f"/>
              </v:rect>
            </w:pict>
          </mc:Fallback>
        </mc:AlternateContent>
      </w:r>
      <w:r>
        <w:rPr>
          <w:rFonts w:hint="eastAsia" w:ascii="Times New Roman" w:hAnsi="Times New Roman" w:cs="Times New Roman" w:eastAsiaTheme="minorEastAsia"/>
          <w:lang w:eastAsia="zh-CN"/>
        </w:rPr>
        <w:drawing>
          <wp:inline distT="0" distB="0" distL="114300" distR="114300">
            <wp:extent cx="3860165" cy="2171065"/>
            <wp:effectExtent l="0" t="0" r="6985" b="635"/>
            <wp:docPr id="2" name="图片 2" descr="175430046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4300464481"/>
                    <pic:cNvPicPr>
                      <a:picLocks noChangeAspect="1"/>
                    </pic:cNvPicPr>
                  </pic:nvPicPr>
                  <pic:blipFill>
                    <a:blip r:embed="rId17"/>
                    <a:stretch>
                      <a:fillRect/>
                    </a:stretch>
                  </pic:blipFill>
                  <pic:spPr>
                    <a:xfrm>
                      <a:off x="0" y="0"/>
                      <a:ext cx="3860165" cy="2171065"/>
                    </a:xfrm>
                    <a:prstGeom prst="rect">
                      <a:avLst/>
                    </a:prstGeom>
                  </pic:spPr>
                </pic:pic>
              </a:graphicData>
            </a:graphic>
          </wp:inline>
        </w:drawing>
      </w:r>
    </w:p>
    <w:p>
      <w:pPr>
        <w:pStyle w:val="2"/>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524760" cy="1904365"/>
            <wp:effectExtent l="0" t="0" r="889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2524760" cy="190436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商业街区A1号楼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137</w:t>
      </w:r>
      <w:r>
        <w:rPr>
          <w:rFonts w:hint="default" w:ascii="Times New Roman" w:hAnsi="Times New Roman" w:eastAsia="方正仿宋_GB2312" w:cs="Times New Roman"/>
          <w:sz w:val="28"/>
          <w:szCs w:val="28"/>
          <w:highlight w:val="none"/>
          <w:u w:val="none"/>
        </w:rPr>
        <w:t xml:space="preserve">号商铺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rPr>
        <w:t>A1号楼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137</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val="en-US" w:eastAsia="zh-CN"/>
        </w:rPr>
        <w:t>2</w:t>
      </w:r>
      <w:r>
        <w:rPr>
          <w:rFonts w:hint="eastAsia" w:ascii="Times New Roman" w:hAnsi="Times New Roman" w:eastAsia="方正仿宋_GB2312" w:cs="Times New Roman"/>
          <w:sz w:val="28"/>
          <w:szCs w:val="28"/>
          <w:highlight w:val="none"/>
          <w:u w:val="single"/>
          <w:lang w:val="en-US" w:eastAsia="zh-CN"/>
        </w:rPr>
        <w:t>个月租金</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hint="eastAsia" w:ascii="宋体" w:hAnsi="宋体" w:eastAsia="宋体" w:cs="宋体"/>
          <w:b/>
          <w:sz w:val="22"/>
          <w:szCs w:val="22"/>
          <w:u w:val="single"/>
        </w:rPr>
      </w:pPr>
      <w:r>
        <w:rPr>
          <w:rFonts w:hint="eastAsia" w:ascii="宋体" w:hAnsi="宋体" w:eastAsia="宋体" w:cs="宋体"/>
          <w:b/>
          <w:szCs w:val="28"/>
          <w:lang w:val="en-US" w:eastAsia="zh-CN"/>
        </w:rPr>
        <w:t xml:space="preserve">                         </w:t>
      </w:r>
      <w:r>
        <w:rPr>
          <w:rFonts w:hint="eastAsia" w:ascii="宋体" w:hAnsi="宋体" w:eastAsia="宋体" w:cs="宋体"/>
          <w:b/>
          <w:sz w:val="22"/>
          <w:szCs w:val="22"/>
        </w:rPr>
        <w:t xml:space="preserve">合同编号：NO. </w:t>
      </w:r>
      <w:r>
        <w:rPr>
          <w:rFonts w:hint="eastAsia" w:ascii="宋体" w:hAnsi="宋体" w:eastAsia="宋体" w:cs="宋体"/>
          <w:b/>
          <w:sz w:val="22"/>
          <w:szCs w:val="22"/>
          <w:u w:val="single"/>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 w:val="32"/>
          <w:szCs w:val="32"/>
        </w:rPr>
        <w:t>天府国际动漫城</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租</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赁</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合</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同</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Cs w:val="28"/>
        </w:rPr>
        <w:t xml:space="preserve">               </w:t>
      </w:r>
      <w:r>
        <w:rPr>
          <w:rFonts w:hint="eastAsia" w:ascii="宋体" w:hAnsi="宋体" w:eastAsia="宋体" w:cs="宋体"/>
          <w:b/>
          <w:sz w:val="22"/>
          <w:szCs w:val="22"/>
          <w:u w:val="single"/>
        </w:rPr>
        <w:t xml:space="preserve"> </w:t>
      </w:r>
      <w:r>
        <w:rPr>
          <w:rFonts w:hint="eastAsia" w:ascii="宋体" w:hAnsi="宋体" w:eastAsia="宋体" w:cs="宋体"/>
          <w:b/>
          <w:szCs w:val="28"/>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22"/>
          <w:szCs w:val="22"/>
        </w:rPr>
      </w:pPr>
      <w:r>
        <w:rPr>
          <w:rFonts w:hint="eastAsia" w:ascii="宋体" w:hAnsi="宋体" w:eastAsia="宋体" w:cs="宋体"/>
          <w:b/>
          <w:szCs w:val="28"/>
        </w:rPr>
        <w:t>二○二四年   月</w:t>
      </w:r>
      <w:r>
        <w:rPr>
          <w:rFonts w:hint="eastAsia" w:ascii="宋体" w:hAnsi="宋体" w:eastAsia="宋体" w:cs="宋体"/>
          <w:b/>
          <w:sz w:val="22"/>
          <w:szCs w:val="22"/>
        </w:rPr>
        <w:t xml:space="preserve"> </w:t>
      </w:r>
    </w:p>
    <w:p>
      <w:pPr>
        <w:spacing w:before="120" w:beforeLines="50" w:after="120" w:afterLines="50"/>
        <w:jc w:val="center"/>
        <w:rPr>
          <w:rFonts w:hint="eastAsia" w:ascii="Arial" w:hAnsi="Arial" w:eastAsia="宋体" w:cs="宋体"/>
          <w:b/>
          <w:szCs w:val="28"/>
        </w:rPr>
        <w:sectPr>
          <w:footerReference r:id="rId3" w:type="default"/>
          <w:pgSz w:w="11906" w:h="16838"/>
          <w:pgMar w:top="1440" w:right="1417" w:bottom="1440" w:left="1417" w:header="708" w:footer="709" w:gutter="0"/>
          <w:pgNumType w:start="1"/>
          <w:cols w:space="720" w:num="1"/>
          <w:docGrid w:linePitch="360" w:charSpace="0"/>
        </w:sect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pPr>
        <w:spacing w:before="120" w:beforeLines="50" w:after="120" w:afterLines="50"/>
        <w:ind w:firstLine="442" w:firstLineChars="200"/>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hint="eastAsia" w:ascii="Arial" w:hAnsi="Arial" w:eastAsia="宋体"/>
          <w:b/>
          <w:sz w:val="22"/>
          <w:szCs w:val="22"/>
        </w:rPr>
        <w:t>统一社会信用代码</w:t>
      </w:r>
      <w:r>
        <w:rPr>
          <w:rFonts w:ascii="Arial" w:hAnsi="Arial" w:eastAsia="宋体"/>
          <w:b/>
          <w:sz w:val="22"/>
          <w:szCs w:val="22"/>
        </w:rPr>
        <w:t>：</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ascii="Arial" w:hAnsi="Arial" w:eastAsia="宋体"/>
          <w:b/>
          <w:sz w:val="22"/>
          <w:szCs w:val="22"/>
        </w:rPr>
        <w:t>法定代表人：</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 xml:space="preserve">承租人（以下简称乙方）：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napToGrid w:val="0"/>
          <w:kern w:val="0"/>
          <w:sz w:val="22"/>
          <w:szCs w:val="22"/>
        </w:rPr>
      </w:pPr>
      <w:r>
        <w:rPr>
          <w:rFonts w:hint="eastAsia" w:ascii="Arial" w:hAnsi="Arial" w:eastAsia="宋体"/>
          <w:b/>
          <w:sz w:val="22"/>
          <w:szCs w:val="22"/>
        </w:rPr>
        <w:t>统一社会信用代码或身份证号码</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法定代表人或授权代表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鉴于：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hint="eastAsia" w:ascii="Arial" w:hAnsi="Arial" w:eastAsia="宋体" w:cs="宋体"/>
          <w:sz w:val="22"/>
          <w:szCs w:val="22"/>
          <w:lang w:eastAsia="zh-CN"/>
        </w:rPr>
        <w:t>、</w:t>
      </w:r>
      <w:r>
        <w:rPr>
          <w:rFonts w:hint="eastAsia" w:ascii="Arial" w:hAnsi="Arial" w:eastAsia="宋体" w:cs="宋体"/>
          <w:sz w:val="22"/>
          <w:szCs w:val="22"/>
        </w:rPr>
        <w:t>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w:t>
      </w:r>
      <w:r>
        <w:rPr>
          <w:rFonts w:hint="eastAsia" w:ascii="Arial" w:hAnsi="Arial" w:eastAsia="宋体" w:cs="宋体"/>
          <w:sz w:val="22"/>
          <w:szCs w:val="22"/>
          <w:lang w:eastAsia="zh-CN"/>
        </w:rPr>
        <w:t>、</w:t>
      </w:r>
      <w:r>
        <w:rPr>
          <w:rFonts w:hint="eastAsia" w:ascii="Arial" w:hAnsi="Arial" w:eastAsia="宋体" w:cs="宋体"/>
          <w:sz w:val="22"/>
          <w:szCs w:val="22"/>
        </w:rPr>
        <w:t>本合同甲方四川旅投漫话世界旅游开发有限责任公司是依据前述背景所设立的独立法人，系“天府国际动漫城”项目的投资主体、建设单位及业主单位。</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3</w:t>
      </w:r>
      <w:r>
        <w:rPr>
          <w:rFonts w:hint="eastAsia" w:ascii="Arial" w:hAnsi="Arial" w:eastAsia="宋体" w:cs="宋体"/>
          <w:sz w:val="22"/>
          <w:szCs w:val="22"/>
          <w:lang w:eastAsia="zh-CN"/>
        </w:rPr>
        <w:t>、</w:t>
      </w:r>
      <w:r>
        <w:rPr>
          <w:rFonts w:hint="eastAsia" w:ascii="Arial" w:hAnsi="Arial" w:eastAsia="宋体" w:cs="宋体"/>
          <w:sz w:val="22"/>
          <w:szCs w:val="22"/>
        </w:rPr>
        <w:t>为更快更优实现“天府国际动漫城”的产业、旅游、文创功能布局及属性，甲方通过公开招募程序招募承租人，乙方在甲方的招募过程中凭借其优势中选成为“天府国际动漫城”商业部分承租方。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sz w:val="22"/>
          <w:szCs w:val="22"/>
        </w:rPr>
      </w:pPr>
      <w:r>
        <w:rPr>
          <w:rFonts w:hint="eastAsia" w:ascii="Arial" w:hAnsi="Arial" w:eastAsia="宋体" w:cs="宋体"/>
          <w:b/>
          <w:sz w:val="22"/>
          <w:szCs w:val="22"/>
        </w:rPr>
        <w:t>1、定义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1.2“</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1.5“公共区域”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1.6“</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；为免歧义，该履约保证金不是定金，也不被作为预付的租金，仅为乙方忠实履行本合同所约定义务的保证。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1.10“</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1.11“营业额”</w:t>
      </w:r>
      <w:r>
        <w:rPr>
          <w:rFonts w:hint="eastAsia" w:ascii="Arial" w:hAnsi="Arial" w:eastAsia="宋体" w:cs="宋体"/>
          <w:sz w:val="22"/>
          <w:szCs w:val="22"/>
        </w:rPr>
        <w:t>：指乙方利用该商铺从事经营活动的全部收入，且未扣除任何成本、费用、第三方扣点及税金。营业额包括但不限于在该商铺内购买货物或服务而直接支付的金额、非在该商铺内支付(如在美团、大众点评、饿了么等平台通过网上交易利用支付宝、财付通、微信、ApplePay、云闪付、团购等网络支付途径支付)但在该商铺内取得商品或服务的相应金额、通过发放福利或赠与的方式在该商铺内取得的商品或服务的相应金额、因使用该商铺取得的非商业性收入，以及乙方雇员、代理人、被许可人等与乙方相关的人使用该商铺而取得的收入。各种收入的体现形式包括但不限于:(1)现金支付收入;(2)银行转账支付收入;(3)票据支付收入;(4)购物卡、储值卡支付收入;(5)经第三方支付平台而进行的线上支付收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Fonts w:ascii="宋体" w:hAnsi="宋体" w:eastAsia="宋体" w:cs="宋体"/>
          <w:bCs/>
          <w:sz w:val="22"/>
          <w:szCs w:val="22"/>
        </w:rPr>
      </w:pPr>
      <w:r>
        <w:rPr>
          <w:rFonts w:hint="eastAsia" w:ascii="Arial" w:hAnsi="Arial" w:eastAsia="宋体" w:cs="宋体"/>
          <w:b/>
          <w:bCs/>
          <w:sz w:val="22"/>
          <w:szCs w:val="22"/>
        </w:rPr>
        <w:t>1.12“租赁期限”</w:t>
      </w:r>
      <w:r>
        <w:rPr>
          <w:rFonts w:hint="eastAsia" w:ascii="宋体" w:hAnsi="宋体" w:eastAsia="宋体" w:cs="宋体"/>
          <w:bCs/>
          <w:sz w:val="22"/>
          <w:szCs w:val="22"/>
        </w:rPr>
        <w:t>：指合同第4.1.1条约定的租赁期限。</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1.13“装修期”</w:t>
      </w:r>
      <w:r>
        <w:rPr>
          <w:rStyle w:val="12"/>
          <w:rFonts w:hint="eastAsia" w:ascii="宋体" w:hAnsi="宋体" w:cs="宋体"/>
          <w:color w:val="000000"/>
          <w:sz w:val="22"/>
          <w:szCs w:val="22"/>
        </w:rPr>
        <w:t>：指合同第8.1条约定的装修期。</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1.14“计租期”</w:t>
      </w:r>
      <w:r>
        <w:rPr>
          <w:rStyle w:val="12"/>
          <w:rFonts w:hint="eastAsia" w:ascii="宋体" w:hAnsi="宋体" w:cs="宋体"/>
          <w:color w:val="000000"/>
          <w:sz w:val="22"/>
          <w:szCs w:val="22"/>
        </w:rPr>
        <w:t>：自开业日（计租日）起至租赁期限届满之日。</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1.15“运营培育期”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Fonts w:ascii="Arial" w:hAnsi="Arial" w:eastAsia="宋体" w:cs="宋体"/>
          <w:b/>
          <w:bCs/>
          <w:sz w:val="22"/>
          <w:szCs w:val="22"/>
        </w:rPr>
      </w:pPr>
      <w:r>
        <w:rPr>
          <w:rFonts w:hint="eastAsia" w:ascii="Arial" w:hAnsi="Arial" w:eastAsia="宋体" w:cs="宋体"/>
          <w:b/>
          <w:bCs/>
          <w:sz w:val="22"/>
          <w:szCs w:val="22"/>
        </w:rPr>
        <w:t>1.16“交付日”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2"/>
          <w:rFonts w:ascii="宋体" w:hAnsi="宋体" w:eastAsia="宋体" w:cs="宋体"/>
          <w:sz w:val="22"/>
          <w:szCs w:val="22"/>
        </w:rPr>
      </w:pPr>
      <w:r>
        <w:rPr>
          <w:rFonts w:hint="eastAsia" w:ascii="Arial" w:hAnsi="Arial" w:eastAsia="宋体" w:cs="宋体"/>
          <w:b/>
          <w:bCs/>
          <w:sz w:val="22"/>
          <w:szCs w:val="22"/>
        </w:rPr>
        <w:t>1.17“开业日”</w:t>
      </w:r>
      <w:r>
        <w:rPr>
          <w:rStyle w:val="12"/>
          <w:rFonts w:hint="eastAsia" w:ascii="宋体" w:hAnsi="宋体" w:eastAsia="宋体" w:cs="宋体"/>
          <w:sz w:val="22"/>
          <w:szCs w:val="22"/>
        </w:rPr>
        <w:t>：除本合同另有约定外，即装修期届满的次日。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2"/>
          <w:rFonts w:ascii="宋体" w:hAnsi="宋体" w:eastAsia="宋体" w:cs="宋体"/>
          <w:sz w:val="22"/>
          <w:szCs w:val="22"/>
        </w:rPr>
      </w:pPr>
      <w:r>
        <w:rPr>
          <w:rFonts w:hint="eastAsia" w:ascii="Arial" w:hAnsi="Arial" w:eastAsia="宋体" w:cs="宋体"/>
          <w:b/>
          <w:bCs/>
          <w:sz w:val="22"/>
          <w:szCs w:val="22"/>
        </w:rPr>
        <w:t>1.18“计租日”</w:t>
      </w:r>
      <w:r>
        <w:rPr>
          <w:rStyle w:val="12"/>
          <w:rFonts w:hint="eastAsia" w:ascii="宋体" w:hAnsi="宋体" w:eastAsia="宋体" w:cs="宋体"/>
          <w:sz w:val="22"/>
          <w:szCs w:val="22"/>
        </w:rPr>
        <w:t>：指本合同约定的开业日，也即租金的起租日。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2、商铺详情及状态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b/>
          <w:bCs/>
          <w:sz w:val="22"/>
          <w:szCs w:val="22"/>
        </w:rPr>
      </w:pPr>
      <w:r>
        <w:rPr>
          <w:rFonts w:ascii="Arial" w:hAnsi="Arial" w:eastAsia="宋体" w:cs="宋体"/>
          <w:b/>
          <w:bCs/>
          <w:sz w:val="22"/>
          <w:szCs w:val="22"/>
        </w:rPr>
        <w:t>2.</w:t>
      </w:r>
      <w:r>
        <w:rPr>
          <w:rFonts w:hint="eastAsia" w:ascii="Arial" w:hAnsi="Arial" w:eastAsia="宋体" w:cs="宋体"/>
          <w:b/>
          <w:bCs/>
          <w:sz w:val="22"/>
          <w:szCs w:val="22"/>
        </w:rPr>
        <w:t>4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0" w:firstLineChars="0"/>
        <w:textAlignment w:val="auto"/>
        <w:rPr>
          <w:rFonts w:ascii="宋体" w:hAnsi="宋体" w:eastAsia="宋体" w:cs="宋体"/>
          <w:b/>
          <w:color w:val="000000"/>
          <w:sz w:val="22"/>
          <w:szCs w:val="22"/>
        </w:rPr>
      </w:pPr>
      <w:r>
        <w:rPr>
          <w:rFonts w:hint="eastAsia" w:ascii="Arial" w:hAnsi="Arial" w:eastAsia="宋体" w:cs="宋体"/>
          <w:b/>
          <w:sz w:val="22"/>
          <w:szCs w:val="22"/>
        </w:rPr>
        <w:t>3、</w:t>
      </w:r>
      <w:r>
        <w:rPr>
          <w:rFonts w:hint="eastAsia" w:ascii="宋体" w:hAnsi="宋体" w:eastAsia="宋体" w:cs="宋体"/>
          <w:b/>
          <w:color w:val="000000"/>
          <w:sz w:val="22"/>
          <w:szCs w:val="22"/>
        </w:rPr>
        <w:t>计租面积</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4、租赁期限</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4.1租赁期限</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4.2.1 运营培育期优惠权给予方式</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固定租金。</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4.2.2 运营培育期优惠权丧失的特别约定</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以上“M”是指本合同约定的运营培育期总月数；“N”是指</w:t>
      </w:r>
      <w:r>
        <w:rPr>
          <w:rFonts w:hint="eastAsia" w:ascii="Arial" w:hAnsi="Arial" w:eastAsia="宋体" w:cs="宋体"/>
          <w:sz w:val="22"/>
          <w:szCs w:val="22"/>
        </w:rPr>
        <w:t>【附件三】第五条约定的计租期内首月月固定租金金额（分摊前）</w:t>
      </w:r>
      <w:r>
        <w:rPr>
          <w:rFonts w:hint="eastAsia" w:ascii="宋体" w:hAnsi="宋体" w:eastAsia="宋体" w:cs="宋体"/>
          <w:color w:val="000000"/>
          <w:sz w:val="22"/>
          <w:szCs w:val="22"/>
        </w:rPr>
        <w:t>。“X”是指合同终止时尚未履行的计租期剩余月数（不足一月的按一月计算）；“Y”是指为约定计租期的总月数。</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4.3续租</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5、租金、其他费用及支付方式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在本合同项下，甲方租金计收方式为：“固定租金”与“提成租金”两者取其高，具体如下：</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5.1.1固定租金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固定租金按“先付后用”的原则支付。首期固定租金，乙方应在合同约定的交付日前1日内缴纳；除首期固定租金外，乙方应在每一支付周期固定租金起算前15日预付给甲方下个支付周期对应的固定租金。如最后一次固定租金对应期间不满一个完整支付周期的，则其中完整自然月的部分按月固定租金金额收取、不满一个完整自然月的部分按实际天数计收。固定租金标准及支付周期详见【附件三】第五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1.2提成租金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5.1.2.1计租期内，提成租金应按照当期营业额全额计提核算，核算后四舍五入以元为单位。乙方应在每一支付周期结束后的10个工作日内向甲方提供能够清楚展示营业额准确数据的报表，并将乙方自行核算的提成租金超过固定租金的差额部分于本期届满后15日内支付给甲方。提成租金计提比例及结算、支付周期详见【附件三】第五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5.1.2.2乙方应在合同签订后【30】日内，开设一个专门的银行账户，作为本合同营业额收入专门账户，对营业额进行管理，并确保该账户不与公司其他资金混同。账户开立后5个工作日内，应当将该账户基本信息报甲方备案。乙方应当保证，本合同下，商铺上发生的所有的营业额收入，均应纳入该专门的银行账户管理，否则视为乙方违约。其他乙方收取的不属于营业额收入的由乙方自行安排账户进行管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5.1.2.3本合同下，乙方向甲方提供显示营业额准确数据的报表时，应当同步提供银行出具的专门账户下的银行账户流水以供甲方核查。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5.1.2.4每季度或年度结算时，甲方可聘请外部专业机构对乙方营业额的完整性和真实性进行一次收入专项审计。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5.1.2.5经甲方核查，营业额数据有</w:t>
      </w:r>
      <w:r>
        <w:rPr>
          <w:rFonts w:hint="eastAsia" w:ascii="Arial" w:hAnsi="Arial" w:eastAsia="宋体" w:cs="宋体"/>
          <w:sz w:val="22"/>
          <w:szCs w:val="22"/>
          <w:highlight w:val="none"/>
          <w:lang w:val="en-US" w:eastAsia="zh-CN"/>
        </w:rPr>
        <w:t>造假、</w:t>
      </w:r>
      <w:r>
        <w:rPr>
          <w:rFonts w:hint="eastAsia" w:ascii="Arial" w:hAnsi="Arial" w:eastAsia="宋体" w:cs="宋体"/>
          <w:sz w:val="22"/>
          <w:szCs w:val="22"/>
          <w:highlight w:val="none"/>
        </w:rPr>
        <w:t>缺漏的部分，乙方应在接到通知后3个工作日内补足提成租金</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并按照缺漏金额的十倍</w:t>
      </w:r>
      <w:r>
        <w:rPr>
          <w:rFonts w:hint="eastAsia" w:ascii="Arial" w:hAnsi="Arial" w:eastAsia="宋体" w:cs="宋体"/>
          <w:sz w:val="22"/>
          <w:szCs w:val="22"/>
          <w:highlight w:val="none"/>
        </w:rPr>
        <w:t>标准向甲方支付违约金</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2综合管理费</w:t>
      </w:r>
    </w:p>
    <w:p>
      <w:pPr>
        <w:keepNext w:val="0"/>
        <w:keepLines w:val="0"/>
        <w:pageBreakBefore w:val="0"/>
        <w:numPr>
          <w:ilvl w:val="255"/>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hint="eastAsia" w:ascii="Arial" w:hAnsi="Arial" w:eastAsia="宋体" w:cs="宋体"/>
          <w:bCs/>
          <w:sz w:val="22"/>
          <w:szCs w:val="22"/>
        </w:rPr>
        <w:t>其他费用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4本合同项下，乙方应向甲方支付的固定租金、提成租金（以下统称为“租金”），应由乙方通过银行转账的方式向甲方指定账户支付，甲方指定账户为：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银行账号：431020100101554670</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除固定租金、提成租金外，乙方应向甲方支付的履约保证金、综合管理费、能耗费用、垃圾清运费等其他所有费用，应由乙方通过银行转账的方式向甲方指定账户支付，甲方指定账户为：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银行账号：431020100101535619</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5.5甲方将在收讫每期费用之后，应在接到乙方的开票通知之后的七个工作日内向乙方开具与已付款金额相应的增值税发票。乙方开票信息详见【附件三】第七条。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固定租金、提成租金、综合管理费、能耗费用、垃圾清运费等所有费用均为含增值税金额，税率按国家相关标准执行。如因国家相关法律、法规、政策调整，使固定租金、提成租金、综合管理费以及其他费用所适用的增值税税率提高的，增加部分的税金由乙方向甲方另行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乙方</w:t>
      </w:r>
      <w:r>
        <w:rPr>
          <w:rFonts w:hint="eastAsia" w:ascii="Arial" w:hAnsi="Arial" w:eastAsia="宋体" w:cs="宋体"/>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则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提高到千分之一每日，且甲方有权提前解除本合同并追究乙方违约责任。此外，甲方因向乙方催付费用而引起的所有费用和开支（包括但不限于诉讼费、仲裁费、律师费等）全部由乙方承担。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5.8如乙方欠付固定租金、提成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6、履约保证金及其支付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.2</w:t>
      </w:r>
      <w:r>
        <w:rPr>
          <w:rFonts w:hint="eastAsia" w:ascii="Arial" w:hAnsi="Arial" w:eastAsia="宋体" w:cs="宋体"/>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则违约金标准自逾期第31日起提高到千分之一每日。履约保证金全额支付或补足之前，甲方有权拒绝履行本合同项下任何承诺，逾期超过30日，甲方有权直接解除合同并另行出租、使用该商铺，乙方应承担第14.3款约定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6.5本合同存续期间，乙方不得以任何理由要求甲方从其缴纳的履约保证金或合同约定的其他保证金、押金（如有）中抵扣其必须向甲方交纳的租金和其它款项。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6除双方另有约定外，待本合同终止且满足下列全部条件后30个工作日内，甲方将向乙方无息退还乙方实际已经支付的履约保证金的余额：</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440" w:firstLine="0" w:firstLineChars="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.6.1</w:t>
      </w:r>
      <w:r>
        <w:rPr>
          <w:rFonts w:hint="eastAsia" w:ascii="Arial" w:hAnsi="Arial" w:eastAsia="宋体" w:cs="宋体"/>
          <w:sz w:val="22"/>
          <w:szCs w:val="22"/>
        </w:rPr>
        <w:t>乙方按本合同第十三条约定的标准将商铺交还甲方；</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.6.2</w:t>
      </w:r>
      <w:r>
        <w:rPr>
          <w:rFonts w:hint="eastAsia" w:ascii="Arial" w:hAnsi="Arial" w:eastAsia="宋体" w:cs="宋体"/>
          <w:sz w:val="22"/>
          <w:szCs w:val="22"/>
        </w:rPr>
        <w:t>乙方已经结清了搬离日（含当日）之前租金、综合管理费、能耗费用等全部费用，付清了本合同终止前已经产生的各项违约金及赔偿金；</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.6.3</w:t>
      </w:r>
      <w:r>
        <w:rPr>
          <w:rFonts w:hint="eastAsia" w:ascii="Arial" w:hAnsi="Arial" w:eastAsia="宋体" w:cs="宋体"/>
          <w:sz w:val="22"/>
          <w:szCs w:val="22"/>
        </w:rPr>
        <w:t>完成变更或注销以该商铺为注册地址的营业执照及其他全部证照；</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.6.4</w:t>
      </w:r>
      <w:r>
        <w:rPr>
          <w:rFonts w:hint="eastAsia" w:ascii="Arial" w:hAnsi="Arial" w:eastAsia="宋体" w:cs="宋体"/>
          <w:sz w:val="22"/>
          <w:szCs w:val="22"/>
        </w:rPr>
        <w:t>乙方已退还甲方开具的履约保证金收据的原件（如有）；</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.6.5</w:t>
      </w:r>
      <w:r>
        <w:rPr>
          <w:rFonts w:hint="eastAsia" w:ascii="Arial" w:hAnsi="Arial" w:eastAsia="宋体" w:cs="宋体"/>
          <w:sz w:val="22"/>
          <w:szCs w:val="22"/>
        </w:rPr>
        <w:t>商铺交还其他手续已经办理完毕；</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.6.6</w:t>
      </w:r>
      <w:r>
        <w:rPr>
          <w:rFonts w:hint="eastAsia" w:ascii="Arial" w:hAnsi="Arial" w:eastAsia="宋体" w:cs="宋体"/>
          <w:sz w:val="22"/>
          <w:szCs w:val="22"/>
        </w:rPr>
        <w:t>乙方就其于本合同项下应履行的其他义务全部履行完毕。</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7、商铺的交付</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7.1交付日</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2"/>
        <w:textAlignment w:val="auto"/>
        <w:rPr>
          <w:rFonts w:ascii="宋体" w:hAnsi="宋体" w:eastAsia="宋体" w:cs="宋体"/>
          <w:b/>
          <w:bCs/>
          <w:color w:val="000000"/>
          <w:sz w:val="22"/>
          <w:szCs w:val="22"/>
        </w:rPr>
      </w:pPr>
      <w:r>
        <w:rPr>
          <w:rFonts w:hint="eastAsia" w:ascii="宋体" w:hAnsi="宋体" w:eastAsia="宋体" w:cs="宋体"/>
          <w:b/>
          <w:bCs/>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宋体" w:cs="宋体"/>
          <w:b/>
          <w:bCs/>
          <w:color w:val="000000"/>
          <w:sz w:val="22"/>
          <w:szCs w:val="22"/>
        </w:rPr>
        <w:t>等费用</w:t>
      </w:r>
      <w:r>
        <w:rPr>
          <w:rFonts w:hint="eastAsia" w:ascii="宋体" w:hAnsi="宋体" w:eastAsia="宋体" w:cs="宋体"/>
          <w:b/>
          <w:bCs/>
          <w:color w:val="000000"/>
          <w:sz w:val="22"/>
          <w:szCs w:val="22"/>
        </w:rPr>
        <w:t>，双方互不承担违约或赔偿的责任。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宋体" w:hAnsi="宋体" w:eastAsia="宋体" w:cs="宋体"/>
          <w:sz w:val="22"/>
          <w:szCs w:val="22"/>
        </w:rPr>
      </w:pPr>
      <w:r>
        <w:rPr>
          <w:rFonts w:hint="eastAsia" w:ascii="宋体" w:hAnsi="宋体" w:eastAsia="宋体" w:cs="宋体"/>
          <w:sz w:val="22"/>
          <w:szCs w:val="22"/>
        </w:rPr>
        <w:t>7.3交付手续</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除此之外，每逾期收房一日，甲方有权要求乙方按照【附件三】第五条约定的计租期内首月月固定租金标准（分摊前）的3‰向甲方支付违约金。逾期收房超过30日的，将视为乙方根本违约，甲方有权解除合同并根据合同约定追究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7.4如商铺实际交付时间因非甲方的过错推迟（如乙方逾期收房等），则装修期实际享有的天数相应减少，原定计租期起算日不会推迟，而甲方无须给予顺延装修期或其他任何形式的补偿。</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Arial" w:hAnsi="Arial" w:eastAsia="宋体" w:cs="宋体"/>
          <w:color w:val="000000"/>
          <w:sz w:val="22"/>
          <w:szCs w:val="22"/>
        </w:rPr>
        <w:t>7.5在商铺具备了法定可使用条件的情况下，如果乙方需要提前进场装修，乙方承诺：1）自装修进场之日视为商铺已经交付，租赁期限开始起算（甲方仍需继续提供符合合同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8、商铺的装修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8.6.1</w:t>
      </w:r>
      <w:r>
        <w:rPr>
          <w:rFonts w:hint="eastAsia" w:ascii="Arial" w:hAnsi="Arial" w:eastAsia="宋体" w:cs="宋体"/>
          <w:sz w:val="22"/>
          <w:szCs w:val="22"/>
        </w:rPr>
        <w:t>破坏房屋结构、外墙与屋面防水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8.6.2</w:t>
      </w:r>
      <w:r>
        <w:rPr>
          <w:rFonts w:hint="eastAsia" w:ascii="Arial" w:hAnsi="Arial" w:eastAsia="宋体" w:cs="宋体"/>
          <w:sz w:val="22"/>
          <w:szCs w:val="22"/>
        </w:rPr>
        <w:t>装修期间使用空调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8.6.3</w:t>
      </w:r>
      <w:r>
        <w:rPr>
          <w:rFonts w:hint="eastAsia" w:ascii="Arial" w:hAnsi="Arial" w:eastAsia="宋体" w:cs="宋体"/>
          <w:sz w:val="22"/>
          <w:szCs w:val="22"/>
        </w:rPr>
        <w:t>未经甲方书面同意擅自拆改、破坏商铺的消防设施设备、烟感、喷淋等设施设备或各种管道系统；</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8.6.4</w:t>
      </w:r>
      <w:r>
        <w:rPr>
          <w:rFonts w:hint="eastAsia" w:ascii="Arial" w:hAnsi="Arial" w:eastAsia="宋体" w:cs="宋体"/>
          <w:sz w:val="22"/>
          <w:szCs w:val="22"/>
        </w:rPr>
        <w:t>使用有毒有害的不合格装修装饰材料或设备；</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8.6.5</w:t>
      </w:r>
      <w:r>
        <w:rPr>
          <w:rFonts w:hint="eastAsia" w:ascii="Arial" w:hAnsi="Arial" w:eastAsia="宋体" w:cs="宋体"/>
          <w:sz w:val="22"/>
          <w:szCs w:val="22"/>
        </w:rPr>
        <w:t>未经甲方书面同意，对商铺的外立面、室外场地和其他公共区域、公共设施进行装修或改动；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8.6.6</w:t>
      </w:r>
      <w:r>
        <w:rPr>
          <w:rFonts w:hint="eastAsia" w:ascii="Arial" w:hAnsi="Arial" w:eastAsia="宋体" w:cs="宋体"/>
          <w:sz w:val="22"/>
          <w:szCs w:val="22"/>
        </w:rPr>
        <w:t>故意侵犯相邻各方的合法权利；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8.6.7</w:t>
      </w:r>
      <w:r>
        <w:rPr>
          <w:rFonts w:hint="eastAsia" w:ascii="Arial" w:hAnsi="Arial" w:eastAsia="宋体" w:cs="宋体"/>
          <w:sz w:val="22"/>
          <w:szCs w:val="22"/>
        </w:rPr>
        <w:t>未经甲方书面同意，在营业时间内进场装修；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8.6.8</w:t>
      </w:r>
      <w:r>
        <w:rPr>
          <w:rFonts w:hint="eastAsia" w:ascii="Arial" w:hAnsi="Arial" w:eastAsia="宋体" w:cs="宋体"/>
          <w:sz w:val="22"/>
          <w:szCs w:val="22"/>
        </w:rPr>
        <w:t>未提交装修设计方案和装修进度计划至甲方审核即进行装修的，或未按照甲方审批通过的装修设计方案、装修进度计划进行装修的。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8.9装修期间，因乙方或装修施工单位的过错导致甲方或第三方造成损失及其他后果的，由乙方承担全部责任。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0" w:firstLineChars="0"/>
        <w:textAlignment w:val="auto"/>
        <w:rPr>
          <w:rFonts w:ascii="Arial" w:hAnsi="Arial" w:eastAsia="宋体" w:cs="Arial"/>
          <w:sz w:val="22"/>
          <w:szCs w:val="22"/>
        </w:rPr>
      </w:pPr>
      <w:r>
        <w:rPr>
          <w:rFonts w:hint="eastAsia" w:ascii="Arial" w:hAnsi="Arial" w:eastAsia="宋体" w:cs="宋体"/>
          <w:b/>
          <w:sz w:val="22"/>
          <w:szCs w:val="22"/>
        </w:rPr>
        <w:t>9、开业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9.1乙方应在本合同约定的开业日开业，乙方开业即为在营业时间持续正常对外营业。开业日详见【附件三】第2.2条，乙方应自开业日起向甲方缴纳租金，开业日即为计租日。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乙方应于约定的开业日开业，否则每逾期一天，除乙方应正常支付租金外，甲方还有权要求乙方</w:t>
      </w:r>
      <w:r>
        <w:rPr>
          <w:rFonts w:hint="eastAsia" w:ascii="Arial" w:hAnsi="Arial" w:eastAsia="宋体" w:cs="宋体"/>
          <w:sz w:val="22"/>
          <w:szCs w:val="22"/>
        </w:rPr>
        <w:t>按照【附件三】第五条约定的计租期内首月月固定租金标准（分摊前）的3‰</w:t>
      </w:r>
      <w:r>
        <w:rPr>
          <w:rFonts w:hint="eastAsia" w:ascii="Arial" w:hAnsi="Arial" w:eastAsia="宋体" w:cs="Arial"/>
          <w:sz w:val="22"/>
          <w:szCs w:val="22"/>
        </w:rPr>
        <w:t>向甲方累计支付违约金直至乙方按本合同约定条件开业。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0</w:t>
      </w:r>
      <w:r>
        <w:rPr>
          <w:rFonts w:hint="eastAsia" w:ascii="Arial" w:hAnsi="Arial" w:eastAsia="宋体" w:cs="宋体"/>
          <w:b/>
          <w:sz w:val="22"/>
          <w:szCs w:val="22"/>
        </w:rPr>
        <w:t>、商铺的维修与保养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.1</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1</w:t>
      </w:r>
      <w:r>
        <w:rPr>
          <w:rFonts w:hint="eastAsia" w:ascii="Arial" w:hAnsi="Arial" w:eastAsia="宋体" w:cs="宋体"/>
          <w:b/>
          <w:sz w:val="22"/>
          <w:szCs w:val="22"/>
        </w:rPr>
        <w:t>、商铺的使用及乙方责任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3</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4</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比如出现有关乙方及乙方品牌的大面积负面社会舆论、网民自发抵制乙方品牌、政府主管部门处罚等事件)，也不得有违反社会主义核心价值观等主流意识形态的行为。乙方从事非法经营或因不诚信经营等导致群体性受害人进入建筑楼栋主张权益的，均视为乙方根本性违约。甲方有权对乙方采取要求进行限期停业整改、解除合同、强制清退等措施，如甲方选择解除合同的，甲方有权按第</w:t>
      </w:r>
      <w:r>
        <w:rPr>
          <w:rFonts w:ascii="Arial" w:hAnsi="Arial" w:eastAsia="宋体" w:cs="宋体"/>
          <w:sz w:val="22"/>
          <w:szCs w:val="22"/>
        </w:rPr>
        <w:t>14</w:t>
      </w:r>
      <w:r>
        <w:rPr>
          <w:rFonts w:hint="eastAsia" w:ascii="Arial" w:hAnsi="Arial" w:eastAsia="宋体" w:cs="宋体"/>
          <w:sz w:val="22"/>
          <w:szCs w:val="22"/>
        </w:rPr>
        <w:t>条的约定要求乙方承担相应责任;甲方未选择解除合同的，甲方有权直接没收保证金，并要求乙方限期消除影响并赔偿甲方因此发生的损失。</w:t>
      </w:r>
    </w:p>
    <w:p>
      <w:pPr>
        <w:pStyle w:val="4"/>
        <w:keepNext w:val="0"/>
        <w:keepLines w:val="0"/>
        <w:pageBreakBefore w:val="0"/>
        <w:kinsoku/>
        <w:wordWrap/>
        <w:overflowPunct/>
        <w:topLinePunct w:val="0"/>
        <w:autoSpaceDE/>
        <w:autoSpaceDN/>
        <w:bidi w:val="0"/>
        <w:adjustRightInd/>
        <w:snapToGrid/>
        <w:spacing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5</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6</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11.7若乙方在商铺进行的业务或其它行为、活动、事情或其他作为或不作为，违反或触犯中国有关法律法规规定，而对甲方造成损失的，乙方应向甲方负赔偿责任及其它法律责任。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11.8乙方不得在商铺或公共区域等任何项目区域存放易燃、易爆、高腐蚀物品。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11.9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11.14乙方从任何政府部门收到关于商铺或任何公共设施的任何通告或文件，必须在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财产一切险(附加盗窃险)、公众责任险、食品安全责任险(餐饮类租户)，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ascii="Arial" w:hAnsi="Arial" w:eastAsia="宋体" w:cs="宋体"/>
          <w:b/>
          <w:sz w:val="22"/>
          <w:szCs w:val="22"/>
        </w:rPr>
        <w:t>12</w:t>
      </w:r>
      <w:r>
        <w:rPr>
          <w:rFonts w:hint="eastAsia" w:ascii="Arial" w:hAnsi="Arial" w:eastAsia="宋体" w:cs="宋体"/>
          <w:b/>
          <w:sz w:val="22"/>
          <w:szCs w:val="22"/>
        </w:rPr>
        <w:t>、出租人权利及义务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.1</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12.2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5甲方保留对项目、该建筑楼栋及其任何部分的命名权，甲方有权更改该项目或其任何部分的名字，而不须就该更改对乙方或其它任何人士作出任何解释或赔偿，也无需征得乙方的同意。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3</w:t>
      </w:r>
      <w:r>
        <w:rPr>
          <w:rFonts w:hint="eastAsia" w:ascii="Arial" w:hAnsi="Arial" w:eastAsia="宋体" w:cs="宋体"/>
          <w:b/>
          <w:sz w:val="22"/>
          <w:szCs w:val="22"/>
        </w:rPr>
        <w:t>、商铺的交还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若因乙方逾期交还商铺，每逾期一日，乙方应当按照交还商铺前一个租赁月的日平均租金(含税)两倍的标准向甲方支付占用使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13.5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6如本合同已经终止，但乙方的装饰物、办公用品、器材、设备或设施等任何物品仍存放于商铺内，甲方有权向乙方发出警告，并视情况按以下方式处理：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3.6.1</w:t>
      </w:r>
      <w:r>
        <w:rPr>
          <w:rFonts w:hint="eastAsia" w:ascii="Arial" w:hAnsi="Arial" w:eastAsia="宋体" w:cs="宋体"/>
          <w:sz w:val="22"/>
          <w:szCs w:val="22"/>
        </w:rPr>
        <w:t>如乙方未根据警告期限及时清空搬迁，则视为乙方已放弃其滞留的全部设施、设备等物品所有权，甲方有权通过折价等方式处理或转移物品，由此产生的运输、人工、仓储费等均由乙方承担；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13.6.2</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乙方仍无法联系或乙方不愿取回物品或不愿结清所欠费用的，甲方仍有权进行变卖处置或另作他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13.6.3</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w:t>
      </w:r>
      <w:r>
        <w:rPr>
          <w:rFonts w:ascii="Arial" w:hAnsi="Arial" w:eastAsia="宋体" w:cs="宋体"/>
          <w:sz w:val="22"/>
          <w:szCs w:val="22"/>
        </w:rPr>
        <w:t>3.6.1</w:t>
      </w:r>
      <w:r>
        <w:rPr>
          <w:rFonts w:hint="eastAsia" w:ascii="Arial" w:hAnsi="Arial" w:eastAsia="宋体" w:cs="宋体"/>
          <w:sz w:val="22"/>
          <w:szCs w:val="22"/>
        </w:rPr>
        <w:t>、1</w:t>
      </w:r>
      <w:r>
        <w:rPr>
          <w:rFonts w:ascii="Arial" w:hAnsi="Arial" w:eastAsia="宋体" w:cs="宋体"/>
          <w:sz w:val="22"/>
          <w:szCs w:val="22"/>
        </w:rPr>
        <w:t>3.6.2</w:t>
      </w:r>
      <w:r>
        <w:rPr>
          <w:rFonts w:hint="eastAsia" w:ascii="Arial" w:hAnsi="Arial" w:eastAsia="宋体" w:cs="宋体"/>
          <w:sz w:val="22"/>
          <w:szCs w:val="22"/>
        </w:rPr>
        <w:t>款得以处置、清空与恢复约定状态之前，视为乙方未获得甲方同意而继续占用商铺并逾期交还商铺。</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4</w:t>
      </w:r>
      <w:r>
        <w:rPr>
          <w:rFonts w:hint="eastAsia" w:ascii="Arial" w:hAnsi="Arial" w:eastAsia="宋体" w:cs="宋体"/>
          <w:b/>
          <w:sz w:val="22"/>
          <w:szCs w:val="22"/>
        </w:rPr>
        <w:t>、违约责任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就近一个租赁月的日平均租金(含税)两倍的标准向甲方支付违约金，直至该等违约行为完全纠正完毕之日，同时乙方还应赔偿甲方由此遭受的一切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14.3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ascii="Arial" w:hAnsi="Arial" w:eastAsia="宋体" w:cs="宋体"/>
          <w:b/>
          <w:bCs/>
          <w:sz w:val="22"/>
          <w:szCs w:val="22"/>
        </w:rPr>
        <w:t>1</w:t>
      </w:r>
      <w:r>
        <w:rPr>
          <w:rFonts w:hint="eastAsia" w:ascii="Arial" w:hAnsi="Arial" w:eastAsia="宋体" w:cs="宋体"/>
          <w:b/>
          <w:bCs/>
          <w:sz w:val="22"/>
          <w:szCs w:val="22"/>
        </w:rPr>
        <w:t>4</w:t>
      </w:r>
      <w:r>
        <w:rPr>
          <w:rFonts w:ascii="Arial" w:hAnsi="Arial" w:eastAsia="宋体" w:cs="宋体"/>
          <w:b/>
          <w:bCs/>
          <w:sz w:val="22"/>
          <w:szCs w:val="22"/>
        </w:rPr>
        <w:t>.</w:t>
      </w:r>
      <w:r>
        <w:rPr>
          <w:rFonts w:hint="eastAsia" w:ascii="Arial" w:hAnsi="Arial" w:eastAsia="宋体" w:cs="宋体"/>
          <w:b/>
          <w:bCs/>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14.6本合同所指损失包括但不限于租金损失、中介费、广告费、装饰装修拆除费、留存物品保管费和处理费、管理费，以及因可归咎于违约方的原因导致守约方向第三方承担的赔偿和/或违约责任。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4.7</w:t>
      </w:r>
      <w:r>
        <w:rPr>
          <w:rFonts w:hint="eastAsia" w:ascii="Arial" w:hAnsi="Arial" w:eastAsia="宋体" w:cs="宋体"/>
          <w:sz w:val="22"/>
          <w:szCs w:val="22"/>
        </w:rPr>
        <w:t>为免疑义，因守约方为实现权利所产生的合理支出，包括但不限于诉讼费、律师费、保全申请费、保全担保（保险）费、公证费、鉴定费、评估费，均由违约方承担。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5</w:t>
      </w:r>
      <w:r>
        <w:rPr>
          <w:rFonts w:hint="eastAsia" w:ascii="Arial" w:hAnsi="Arial" w:eastAsia="宋体" w:cs="宋体"/>
          <w:b/>
          <w:sz w:val="22"/>
          <w:szCs w:val="22"/>
        </w:rPr>
        <w:t>、合同的解除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租赁期限内如经双方一致同意，本合同可提前解除，具体手续及责任双方另行协商。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5.2.1</w:t>
      </w:r>
      <w:r>
        <w:rPr>
          <w:rFonts w:hint="eastAsia" w:ascii="Arial" w:hAnsi="Arial" w:eastAsia="宋体" w:cs="宋体"/>
          <w:sz w:val="22"/>
          <w:szCs w:val="22"/>
        </w:rPr>
        <w:t>本项目被中国政府任何部门征用或拆迁。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5.2.2</w:t>
      </w:r>
      <w:r>
        <w:rPr>
          <w:rFonts w:hint="eastAsia" w:ascii="Arial" w:hAnsi="Arial" w:eastAsia="宋体" w:cs="宋体"/>
          <w:sz w:val="22"/>
          <w:szCs w:val="22"/>
        </w:rPr>
        <w:t>本项目占用范围内的土地使用权依法提前收回的。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5.2.3</w:t>
      </w:r>
      <w:r>
        <w:rPr>
          <w:rFonts w:hint="eastAsia" w:ascii="Arial" w:hAnsi="Arial" w:eastAsia="宋体" w:cs="宋体"/>
          <w:sz w:val="22"/>
          <w:szCs w:val="22"/>
        </w:rPr>
        <w:t>本项目被中国政府任何部门，包括司法、行政机关依法限制其房地产权利。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15.3发生以下情形之一的，甲方有权单方解除合同并根据合同约定追究乙方违约责任：</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w:t>
      </w:r>
      <w:r>
        <w:rPr>
          <w:rFonts w:hint="eastAsia" w:ascii="Arial" w:hAnsi="Arial" w:eastAsia="宋体" w:cs="宋体"/>
          <w:sz w:val="22"/>
          <w:szCs w:val="22"/>
        </w:rPr>
        <w:t>乙方未按照本合同按时缴纳租金、综合管理费、垃圾清运费、能耗费用、履约保证金或其他任何款项，逾期超过30日的；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5.3.2</w:t>
      </w:r>
      <w:r>
        <w:rPr>
          <w:rFonts w:hint="eastAsia" w:ascii="Arial" w:hAnsi="Arial" w:eastAsia="宋体" w:cs="宋体"/>
          <w:sz w:val="22"/>
          <w:szCs w:val="22"/>
        </w:rPr>
        <w:t>乙方无故逾期收房超过30日的；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5.3.3</w:t>
      </w:r>
      <w:r>
        <w:rPr>
          <w:rFonts w:hint="eastAsia" w:ascii="Arial" w:hAnsi="Arial" w:eastAsia="宋体" w:cs="宋体"/>
          <w:sz w:val="22"/>
          <w:szCs w:val="22"/>
        </w:rPr>
        <w:t>未经甲方书面同意，乙方擅自改变商铺的规划用途、使用用途、营业范围的；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5.3.4</w:t>
      </w:r>
      <w:r>
        <w:rPr>
          <w:rFonts w:hint="eastAsia" w:ascii="Arial" w:hAnsi="Arial" w:eastAsia="宋体" w:cs="宋体"/>
          <w:sz w:val="22"/>
          <w:szCs w:val="22"/>
        </w:rPr>
        <w:t>在双方办理该商铺交付手续后7日内乙方没有进场装修，或因乙方原因导致该商铺逾期超过60日仍未能开业的；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5.3.5</w:t>
      </w: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5.3.6</w:t>
      </w: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5.3.7</w:t>
      </w: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5.3.8</w:t>
      </w: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5.3.9</w:t>
      </w: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5.3.10</w:t>
      </w:r>
      <w:r>
        <w:rPr>
          <w:rFonts w:hint="eastAsia" w:ascii="Arial" w:hAnsi="Arial" w:eastAsia="宋体" w:cs="宋体"/>
          <w:sz w:val="22"/>
          <w:szCs w:val="22"/>
        </w:rPr>
        <w:t>乙方的行为给甲方造成商业或者声誉上的不良影响，导致甲方遭受损失且乙方未能在甲方通知期限内消除该影响的；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5.3.11</w:t>
      </w:r>
      <w:r>
        <w:rPr>
          <w:rFonts w:hint="eastAsia" w:ascii="Arial" w:hAnsi="Arial" w:eastAsia="宋体" w:cs="宋体"/>
          <w:sz w:val="22"/>
          <w:szCs w:val="22"/>
        </w:rPr>
        <w:t>除非法律法规另有规定或本合同另有约定，因乙方自身原因停止营业持续超过24小时的；</w:t>
      </w:r>
    </w:p>
    <w:p>
      <w:pPr>
        <w:spacing w:before="156" w:beforeLines="50" w:after="156" w:afterLines="50" w:line="440" w:lineRule="exact"/>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15.3.12</w:t>
      </w:r>
      <w:r>
        <w:rPr>
          <w:rFonts w:hint="eastAsia" w:ascii="Arial" w:hAnsi="Arial" w:eastAsia="宋体" w:cs="宋体"/>
          <w:sz w:val="22"/>
          <w:szCs w:val="22"/>
          <w:highlight w:val="none"/>
        </w:rPr>
        <w:t>乙方</w:t>
      </w:r>
      <w:r>
        <w:rPr>
          <w:rFonts w:hint="eastAsia" w:ascii="Arial" w:hAnsi="Arial" w:eastAsia="宋体" w:cs="宋体"/>
          <w:sz w:val="22"/>
          <w:szCs w:val="22"/>
          <w:highlight w:val="none"/>
          <w:lang w:val="en-US" w:eastAsia="zh-CN"/>
        </w:rPr>
        <w:t>存在</w:t>
      </w:r>
      <w:r>
        <w:rPr>
          <w:rFonts w:hint="eastAsia" w:ascii="Arial" w:hAnsi="Arial" w:eastAsia="宋体" w:cs="宋体"/>
          <w:sz w:val="22"/>
          <w:szCs w:val="22"/>
          <w:highlight w:val="none"/>
        </w:rPr>
        <w:t>营业额数据有</w:t>
      </w:r>
      <w:r>
        <w:rPr>
          <w:rFonts w:hint="eastAsia" w:ascii="Arial" w:hAnsi="Arial" w:eastAsia="宋体" w:cs="宋体"/>
          <w:sz w:val="22"/>
          <w:szCs w:val="22"/>
          <w:highlight w:val="none"/>
          <w:lang w:val="en-US" w:eastAsia="zh-CN"/>
        </w:rPr>
        <w:t>造假、</w:t>
      </w:r>
      <w:r>
        <w:rPr>
          <w:rFonts w:hint="eastAsia" w:ascii="Arial" w:hAnsi="Arial" w:eastAsia="宋体" w:cs="宋体"/>
          <w:sz w:val="22"/>
          <w:szCs w:val="22"/>
          <w:highlight w:val="none"/>
        </w:rPr>
        <w:t>缺漏的；</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3</w:t>
      </w:r>
      <w:r>
        <w:rPr>
          <w:rFonts w:hint="eastAsia" w:ascii="Arial" w:hAnsi="Arial" w:eastAsia="宋体" w:cs="宋体"/>
          <w:sz w:val="22"/>
          <w:szCs w:val="22"/>
        </w:rPr>
        <w:t>乙方未能按本合同第10.4条的约定履行其对该商铺的修缮义务的；</w:t>
      </w:r>
    </w:p>
    <w:p>
      <w:pPr>
        <w:spacing w:before="156" w:beforeLines="50" w:after="156" w:afterLines="50" w:line="440" w:lineRule="exact"/>
        <w:ind w:firstLine="440" w:firstLineChars="200"/>
        <w:rPr>
          <w:rFonts w:hint="eastAsia"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4</w:t>
      </w: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5</w:t>
      </w:r>
      <w:r>
        <w:rPr>
          <w:rFonts w:hint="eastAsia" w:ascii="Arial" w:hAnsi="Arial" w:eastAsia="宋体" w:cs="宋体"/>
          <w:sz w:val="22"/>
          <w:szCs w:val="22"/>
        </w:rPr>
        <w:t>法律、法规或本合同其他条款允许甲方单方提前解除合同的其他情况。</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5.4.1</w:t>
      </w:r>
      <w:r>
        <w:rPr>
          <w:rFonts w:hint="eastAsia" w:ascii="Arial" w:hAnsi="Arial" w:eastAsia="宋体" w:cs="宋体"/>
          <w:sz w:val="22"/>
          <w:szCs w:val="22"/>
        </w:rPr>
        <w:t>因抵押权人实现抵押权而导致本合同无法继续履行的；</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5.4.2</w:t>
      </w:r>
      <w:r>
        <w:rPr>
          <w:rFonts w:hint="eastAsia" w:ascii="Arial" w:hAnsi="Arial" w:eastAsia="宋体" w:cs="宋体"/>
          <w:sz w:val="22"/>
          <w:szCs w:val="22"/>
        </w:rPr>
        <w:t>甲方擅自提前终止本合同并收回商铺；</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5.4.3</w:t>
      </w:r>
      <w:r>
        <w:rPr>
          <w:rFonts w:hint="eastAsia" w:ascii="Arial" w:hAnsi="Arial" w:eastAsia="宋体" w:cs="宋体"/>
          <w:sz w:val="22"/>
          <w:szCs w:val="22"/>
        </w:rPr>
        <w:t>因甲方转让全部或部分商铺导致乙方无法继续使用该商铺的；</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5.4.4</w:t>
      </w:r>
      <w:r>
        <w:rPr>
          <w:rFonts w:hint="eastAsia" w:ascii="Arial" w:hAnsi="Arial" w:eastAsia="宋体" w:cs="宋体"/>
          <w:sz w:val="22"/>
          <w:szCs w:val="22"/>
        </w:rPr>
        <w:t>法律、法规或本合同其他条款允许乙方单方提前解除合同的其他情况。</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6</w:t>
      </w:r>
      <w:r>
        <w:rPr>
          <w:rFonts w:hint="eastAsia" w:ascii="Arial" w:hAnsi="Arial" w:eastAsia="宋体" w:cs="宋体"/>
          <w:b/>
          <w:sz w:val="22"/>
          <w:szCs w:val="22"/>
        </w:rPr>
        <w:t>、豁免条款</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16.1各方确认，在下述情况下，甲方不承担任何责任，且本合同项下之租金、综合管理费及其它费用不得减免或中止支付：</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6.1.1</w:t>
      </w:r>
      <w:r>
        <w:rPr>
          <w:rFonts w:hint="eastAsia" w:ascii="Arial" w:hAnsi="Arial" w:eastAsia="宋体" w:cs="宋体"/>
          <w:b/>
          <w:bCs/>
          <w:sz w:val="22"/>
          <w:szCs w:val="22"/>
        </w:rPr>
        <w:t>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6.1.2</w:t>
      </w:r>
      <w:r>
        <w:rPr>
          <w:rFonts w:hint="eastAsia" w:ascii="Arial" w:hAnsi="Arial" w:eastAsia="宋体" w:cs="宋体"/>
          <w:b/>
          <w:bCs/>
          <w:sz w:val="22"/>
          <w:szCs w:val="22"/>
        </w:rPr>
        <w:t>由于乙方或第三者的原因对乙方或第三者造成的任何损失和伤害。</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6.1.3</w:t>
      </w:r>
      <w:r>
        <w:rPr>
          <w:rFonts w:hint="eastAsia" w:ascii="Arial" w:hAnsi="Arial" w:eastAsia="宋体" w:cs="宋体"/>
          <w:b/>
          <w:bCs/>
          <w:sz w:val="22"/>
          <w:szCs w:val="22"/>
        </w:rPr>
        <w:t>项目内发生的盗窃、抢劫、抢夺、诈骗、恐怖分子制造的恐怖行为等刑事、治安案件造成乙方损失的。</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6.1.4</w:t>
      </w:r>
      <w:r>
        <w:rPr>
          <w:rFonts w:hint="eastAsia" w:ascii="Arial" w:hAnsi="Arial" w:eastAsia="宋体" w:cs="宋体"/>
          <w:b/>
          <w:bCs/>
          <w:sz w:val="22"/>
          <w:szCs w:val="22"/>
        </w:rPr>
        <w:t>因不可抗力或者政府行为等不可控制的原因导致甲方违反本合同的约定给乙方带来不便或损失的。</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16.2乙方在此声明，除非下列任何情形是因甲方故意或者重大过失直接引起的，甲方在下列任何情形下不必对乙方或任何其它人士负责，乙方应直接与造成损害的其他直接责任方交涉：</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6.2.1</w:t>
      </w:r>
      <w:r>
        <w:rPr>
          <w:rFonts w:hint="eastAsia" w:ascii="Arial" w:hAnsi="Arial" w:eastAsia="宋体" w:cs="宋体"/>
          <w:b/>
          <w:bCs/>
          <w:sz w:val="22"/>
          <w:szCs w:val="22"/>
        </w:rPr>
        <w:t>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6.2.2</w:t>
      </w:r>
      <w:r>
        <w:rPr>
          <w:rFonts w:hint="eastAsia" w:ascii="Arial" w:hAnsi="Arial" w:eastAsia="宋体" w:cs="宋体"/>
          <w:b/>
          <w:bCs/>
          <w:sz w:val="22"/>
          <w:szCs w:val="22"/>
        </w:rPr>
        <w:t>如上述情况是因甲方故意或重大过失直接引起的，甲方应在法律规定和本合同约定的责任范围内赔偿乙方因此而遭受的直接经济损失。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7</w:t>
      </w:r>
      <w:r>
        <w:rPr>
          <w:rFonts w:hint="eastAsia" w:ascii="Arial" w:hAnsi="Arial" w:eastAsia="宋体" w:cs="宋体"/>
          <w:b/>
          <w:sz w:val="22"/>
          <w:szCs w:val="22"/>
        </w:rPr>
        <w:t>、不可抗力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.1</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keepNext w:val="0"/>
        <w:keepLines w:val="0"/>
        <w:pageBreakBefore w:val="0"/>
        <w:numPr>
          <w:ilvl w:val="255"/>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17.2如因不可抗力导致本合同不能履行且持续时间超过90日的，任何一方均有权单方面以书面通知的形式提前终止本合同，且互不负违约责任。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8</w:t>
      </w:r>
      <w:r>
        <w:rPr>
          <w:rFonts w:hint="eastAsia" w:ascii="Arial" w:hAnsi="Arial" w:eastAsia="宋体" w:cs="宋体"/>
          <w:b/>
          <w:sz w:val="22"/>
          <w:szCs w:val="22"/>
        </w:rPr>
        <w:t>、通知与送达</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9</w:t>
      </w:r>
      <w:r>
        <w:rPr>
          <w:rFonts w:hint="eastAsia" w:ascii="Arial" w:hAnsi="Arial" w:eastAsia="宋体" w:cs="宋体"/>
          <w:b/>
          <w:sz w:val="22"/>
          <w:szCs w:val="22"/>
        </w:rPr>
        <w:t>、补充责任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.1</w:t>
      </w:r>
      <w:r>
        <w:rPr>
          <w:rFonts w:hint="eastAsia" w:ascii="Arial" w:hAnsi="Arial" w:eastAsia="宋体" w:cs="宋体"/>
          <w:sz w:val="22"/>
          <w:szCs w:val="22"/>
        </w:rPr>
        <w:t>租赁期限内，甲方如出卖商铺的，</w:t>
      </w:r>
      <w:r>
        <w:rPr>
          <w:rFonts w:hint="eastAsia" w:ascii="Arial" w:hAnsi="Arial" w:eastAsia="宋体" w:cs="宋体"/>
          <w:b/>
          <w:sz w:val="22"/>
          <w:szCs w:val="22"/>
        </w:rPr>
        <w:t>乙方在此明确放弃优先购买商铺的权利</w:t>
      </w:r>
      <w:r>
        <w:rPr>
          <w:rFonts w:hint="eastAsia" w:ascii="Arial" w:hAnsi="Arial" w:eastAsia="宋体" w:cs="宋体"/>
          <w:sz w:val="22"/>
          <w:szCs w:val="22"/>
        </w:rPr>
        <w:t>，但该等放弃并不影响乙方作为有购房意愿的竞争者之一与甲方就购买商铺展开磋商。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.2</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.3</w:t>
      </w:r>
      <w:r>
        <w:rPr>
          <w:rFonts w:hint="eastAsia" w:ascii="Arial" w:hAnsi="Arial" w:eastAsia="宋体" w:cs="宋体"/>
          <w:sz w:val="22"/>
          <w:szCs w:val="22"/>
        </w:rPr>
        <w:t>如双方未能在租赁期届满前三个月订立续租合同，在租赁期最后三个月内乙方须允许甲方在甲方认为合理的地方，张贴商铺招租告示，乙方不应遮盖该等告示。对于甲方陪同可能的新业主或新租户在预先约定的合理时间内，视察商铺时，乙方应尽力配合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.4</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.5</w:t>
      </w:r>
      <w:r>
        <w:rPr>
          <w:rFonts w:hint="eastAsia" w:ascii="Arial" w:hAnsi="Arial" w:eastAsia="宋体" w:cs="宋体"/>
          <w:sz w:val="22"/>
          <w:szCs w:val="22"/>
        </w:rPr>
        <w:t>甲乙双方特此同意，在合同期内，如乙方的现有股东结构发生变更，从而使得乙方的现有控股股东不再成为乙方的直接或间接控股股东或第一大股东,则乙方应于有关该股东变更之协议书签署之日或该股东变更经政府有关部门批准或登记之日起3日内通知甲方。若新股东变更后乙方无法正常履行本合同，则甲方有权(但无义务)在接到该通知后或在甲方知道乙方该等控股股东结构发生变更之日后解除本合同，收回该商铺，并没收乙方所交纳的租赁保证金。若因此而给甲方造成损失，乙方应赔偿甲方全部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.6</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w:t>
      </w:r>
      <w:r>
        <w:rPr>
          <w:rFonts w:ascii="Arial" w:hAnsi="Arial" w:eastAsia="宋体" w:cs="宋体"/>
          <w:b/>
          <w:sz w:val="22"/>
          <w:szCs w:val="22"/>
        </w:rPr>
        <w:t>0</w:t>
      </w:r>
      <w:r>
        <w:rPr>
          <w:rFonts w:hint="eastAsia" w:ascii="Arial" w:hAnsi="Arial" w:eastAsia="宋体" w:cs="宋体"/>
          <w:b/>
          <w:sz w:val="22"/>
          <w:szCs w:val="22"/>
        </w:rPr>
        <w:t>、其它约定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.1</w:t>
      </w:r>
      <w:r>
        <w:rPr>
          <w:rFonts w:hint="eastAsia" w:ascii="Arial" w:hAnsi="Arial" w:eastAsia="宋体" w:cs="宋体"/>
          <w:sz w:val="22"/>
          <w:szCs w:val="22"/>
        </w:rPr>
        <w:t>双方同意，本合同的所有附件、补充协议（如有），为本合同不可分割的组成部分，与本合同具同等的法律效力。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.2</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.3</w:t>
      </w:r>
      <w:r>
        <w:rPr>
          <w:rFonts w:hint="eastAsia" w:ascii="Arial" w:hAnsi="Arial" w:eastAsia="宋体" w:cs="宋体"/>
          <w:sz w:val="22"/>
          <w:szCs w:val="22"/>
        </w:rPr>
        <w:t>双方此前就商铺签订或达成任何口头或书面协议、承诺均被本合同取代。</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.4</w:t>
      </w:r>
      <w:r>
        <w:rPr>
          <w:rFonts w:hint="eastAsia" w:ascii="Arial" w:hAnsi="Arial" w:eastAsia="宋体" w:cs="宋体"/>
          <w:sz w:val="22"/>
          <w:szCs w:val="22"/>
        </w:rPr>
        <w:t>因本合同的履行所产生的任何争议，双方应平等协商，若协商不能取得一致，任一方均有权向商铺所在地人民法院起诉。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hint="eastAsia" w:ascii="宋体" w:hAnsi="宋体" w:eastAsia="宋体" w:cs="宋体"/>
          <w:sz w:val="22"/>
          <w:szCs w:val="22"/>
          <w:lang w:eastAsia="zh-CN"/>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本行以下无正文，为签署页</w:t>
      </w:r>
      <w:r>
        <w:rPr>
          <w:rFonts w:hint="eastAsia" w:ascii="宋体" w:hAnsi="宋体" w:eastAsia="宋体" w:cs="宋体"/>
          <w:sz w:val="22"/>
          <w:szCs w:val="22"/>
          <w:lang w:eastAsia="zh-CN"/>
        </w:rPr>
        <w:t>）</w:t>
      </w:r>
    </w:p>
    <w:p>
      <w:pPr>
        <w:rPr>
          <w:rFonts w:hint="eastAsia" w:ascii="Arial" w:hAnsi="Arial" w:eastAsia="宋体" w:cs="宋体"/>
          <w:b/>
          <w:bCs/>
          <w:sz w:val="22"/>
          <w:szCs w:val="22"/>
        </w:rPr>
      </w:pPr>
      <w:r>
        <w:rPr>
          <w:rFonts w:hint="eastAsia" w:ascii="Arial" w:hAnsi="Arial" w:eastAsia="宋体" w:cs="宋体"/>
          <w:b/>
          <w:bCs/>
          <w:sz w:val="22"/>
          <w:szCs w:val="22"/>
        </w:rPr>
        <w:br w:type="page"/>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甲方（盖章）：</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附件五：交付标准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附件七：阳光合作协议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附件九：开业确认书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hint="eastAsia" w:ascii="Arial" w:hAnsi="Arial" w:eastAsia="宋体" w:cs="宋体"/>
          <w:b/>
          <w:sz w:val="22"/>
          <w:szCs w:val="22"/>
        </w:rPr>
        <w:sectPr>
          <w:footerReference r:id="rId4"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spacing w:before="120" w:beforeLines="50" w:after="120" w:afterLines="50"/>
        <w:outlineLvl w:val="0"/>
        <w:rPr>
          <w:rFonts w:hint="eastAsia" w:ascii="Arial" w:hAnsi="Arial" w:eastAsia="宋体" w:cs="宋体"/>
          <w:b/>
          <w:sz w:val="22"/>
          <w:szCs w:val="22"/>
        </w:rPr>
        <w:sectPr>
          <w:footerReference r:id="rId5"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spacing w:before="120" w:beforeLines="50" w:after="120" w:afterLines="50"/>
        <w:outlineLvl w:val="0"/>
        <w:rPr>
          <w:rFonts w:hint="eastAsia" w:ascii="Arial" w:hAnsi="Arial" w:eastAsia="宋体" w:cs="宋体"/>
          <w:b/>
          <w:sz w:val="22"/>
          <w:szCs w:val="22"/>
        </w:rPr>
        <w:sectPr>
          <w:footerReference r:id="rId6"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w:t>
      </w:r>
      <w:r>
        <w:rPr>
          <w:rFonts w:hint="eastAsia" w:ascii="Arial" w:hAnsi="Arial" w:eastAsia="宋体" w:cs="宋体"/>
          <w:sz w:val="22"/>
          <w:szCs w:val="22"/>
        </w:rPr>
        <w:t>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租赁期限：自交付日起共计【】个月。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3.2装修期：甲方给予乙方整个商铺共计【】天的装修期，自商铺的交付日起算。</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月。双方约定：对乙方根据合同约定享有的【】个月的运营培育期的权益，在【】个月内进行分摊并实现，乙方需在分摊期间内，按照权益平均分摊后的租金标准向甲方支付固定租金（分摊期间详见第五条）。</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p>
        </w:tc>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3096" w:type="dxa"/>
          </w:tcPr>
          <w:p>
            <w:pPr>
              <w:spacing w:before="120" w:beforeLines="50" w:after="120" w:afterLines="50"/>
              <w:rPr>
                <w:rFonts w:ascii="Arial" w:hAnsi="Arial" w:eastAsia="宋体" w:cs="宋体"/>
                <w:snapToGrid w:val="0"/>
                <w:kern w:val="0"/>
                <w:sz w:val="22"/>
                <w:szCs w:val="22"/>
              </w:rPr>
            </w:pPr>
          </w:p>
        </w:tc>
      </w:tr>
    </w:tbl>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pPr>
        <w:numPr>
          <w:ilvl w:val="0"/>
          <w:numId w:val="7"/>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7"/>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租金标准、支付周期</w:t>
      </w:r>
    </w:p>
    <w:tbl>
      <w:tblPr>
        <w:tblStyle w:val="9"/>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6"/>
        <w:gridCol w:w="1326"/>
        <w:gridCol w:w="1326"/>
        <w:gridCol w:w="1326"/>
        <w:gridCol w:w="132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固定租金单价（元/㎡/月）</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月度固定租金标准（元/月）</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提成租金计提比例</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应支付租金截止时间</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bl>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元（大写</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元整）</w:t>
      </w:r>
      <w:r>
        <w:rPr>
          <w:rFonts w:hint="eastAsia" w:ascii="Arial" w:hAnsi="Arial" w:eastAsia="宋体" w:cs="宋体"/>
          <w:snapToGrid w:val="0"/>
          <w:kern w:val="0"/>
          <w:sz w:val="22"/>
          <w:szCs w:val="22"/>
        </w:rPr>
        <w:t>。</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纳税人识别号：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开户行：</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银行账号：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公司地址：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联系电话：</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left="440"/>
        <w:rPr>
          <w:rFonts w:ascii="Arial" w:hAnsi="Arial" w:eastAsia="宋体" w:cs="宋体"/>
          <w:snapToGrid w:val="0"/>
          <w:kern w:val="0"/>
          <w:sz w:val="22"/>
          <w:szCs w:val="22"/>
        </w:rPr>
      </w:pP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firstLine="440" w:firstLineChars="200"/>
        <w:rPr>
          <w:rFonts w:ascii="Arial" w:hAnsi="Arial" w:eastAsia="宋体" w:cs="宋体"/>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7"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《户型平面图》</w:t>
      </w:r>
    </w:p>
    <w:p>
      <w:pPr>
        <w:spacing w:before="120" w:beforeLines="50" w:after="120" w:afterLines="50"/>
        <w:rPr>
          <w:rFonts w:hint="eastAsia" w:ascii="Arial" w:hAnsi="Arial" w:eastAsia="宋体" w:cs="宋体"/>
          <w:b/>
          <w:snapToGrid w:val="0"/>
          <w:kern w:val="0"/>
          <w:sz w:val="22"/>
          <w:szCs w:val="22"/>
        </w:rPr>
        <w:sectPr>
          <w:footerReference r:id="rId8"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附件五：交付标准</w:t>
      </w:r>
    </w:p>
    <w:p>
      <w:pPr>
        <w:spacing w:before="120" w:beforeLines="50" w:after="120" w:afterLines="50"/>
        <w:rPr>
          <w:rFonts w:hint="eastAsia" w:ascii="Arial" w:hAnsi="Arial" w:eastAsia="宋体" w:cs="宋体"/>
          <w:b/>
          <w:snapToGrid w:val="0"/>
          <w:kern w:val="0"/>
          <w:sz w:val="22"/>
          <w:szCs w:val="22"/>
        </w:rPr>
        <w:sectPr>
          <w:footerReference r:id="rId9"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b/>
          <w:bCs/>
          <w:snapToGrid w:val="0"/>
          <w:kern w:val="0"/>
          <w:sz w:val="22"/>
          <w:szCs w:val="22"/>
        </w:rPr>
        <w:t>食品、餐饮单位食品安全责任书</w:t>
      </w:r>
    </w:p>
    <w:p>
      <w:pPr>
        <w:ind w:firstLine="392" w:firstLineChars="200"/>
        <w:rPr>
          <w:rFonts w:cs="宋体"/>
          <w:spacing w:val="-2"/>
          <w:sz w:val="20"/>
          <w:szCs w:val="20"/>
        </w:rPr>
      </w:pPr>
    </w:p>
    <w:p>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pPr>
        <w:ind w:firstLine="392" w:firstLineChars="200"/>
        <w:rPr>
          <w:rFonts w:cs="宋体"/>
          <w:spacing w:val="-2"/>
          <w:sz w:val="20"/>
          <w:szCs w:val="20"/>
          <w:u w:val="single"/>
        </w:rPr>
      </w:pPr>
    </w:p>
    <w:p>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rPr>
      </w:pPr>
      <w:r>
        <w:rPr>
          <w:rFonts w:hint="eastAsia" w:cs="宋体"/>
          <w:sz w:val="20"/>
          <w:szCs w:val="20"/>
        </w:rPr>
        <w:t>（四）乙方生产经营应当符合食品安全标准，并符合下列要求：</w:t>
      </w:r>
    </w:p>
    <w:p>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pPr>
        <w:ind w:firstLine="400" w:firstLineChars="200"/>
        <w:rPr>
          <w:sz w:val="20"/>
          <w:szCs w:val="20"/>
        </w:rPr>
      </w:pPr>
      <w:r>
        <w:rPr>
          <w:rFonts w:hint="eastAsia" w:cs="宋体"/>
          <w:sz w:val="20"/>
          <w:szCs w:val="20"/>
        </w:rPr>
        <w:t>（五）禁止乙方生产经营以下产品：</w:t>
      </w:r>
    </w:p>
    <w:p>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pPr>
        <w:ind w:firstLine="400" w:firstLineChars="200"/>
        <w:rPr>
          <w:sz w:val="20"/>
          <w:szCs w:val="20"/>
        </w:rPr>
      </w:pPr>
      <w:r>
        <w:rPr>
          <w:rFonts w:hint="eastAsia" w:cs="宋体"/>
          <w:sz w:val="20"/>
          <w:szCs w:val="20"/>
        </w:rPr>
        <w:t>（六）对乙方食品采购、贮存、检验的要求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pPr>
        <w:ind w:firstLine="400" w:firstLineChars="200"/>
        <w:rPr>
          <w:sz w:val="20"/>
          <w:szCs w:val="20"/>
        </w:rPr>
      </w:pPr>
      <w:r>
        <w:rPr>
          <w:rFonts w:hint="eastAsia" w:cs="宋体"/>
          <w:sz w:val="20"/>
          <w:szCs w:val="20"/>
        </w:rPr>
        <w:t>（七）对乙方从业人员的要求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rPr>
      </w:pPr>
      <w:r>
        <w:rPr>
          <w:rFonts w:hint="eastAsia" w:cs="宋体"/>
          <w:sz w:val="20"/>
          <w:szCs w:val="20"/>
        </w:rPr>
        <w:t>（八）对乙方餐具、后厨和环境卫生的要求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pPr>
        <w:ind w:firstLine="400" w:firstLineChars="200"/>
        <w:rPr>
          <w:sz w:val="20"/>
          <w:szCs w:val="20"/>
        </w:rPr>
      </w:pPr>
      <w:r>
        <w:rPr>
          <w:rFonts w:hint="eastAsia" w:cs="宋体"/>
          <w:sz w:val="20"/>
          <w:szCs w:val="20"/>
        </w:rPr>
        <w:t>（九）食品安全事故处置</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rPr>
      </w:pPr>
      <w:r>
        <w:rPr>
          <w:rFonts w:hint="eastAsia" w:cs="宋体"/>
          <w:sz w:val="20"/>
          <w:szCs w:val="20"/>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hint="eastAsia" w:ascii="Arial" w:hAnsi="Arial" w:eastAsia="宋体" w:cs="宋体"/>
          <w:b/>
          <w:snapToGrid w:val="0"/>
          <w:kern w:val="0"/>
          <w:sz w:val="22"/>
          <w:szCs w:val="22"/>
        </w:rPr>
        <w:sectPr>
          <w:footerReference r:id="rId10"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附件七：阳光合作协议</w:t>
      </w:r>
    </w:p>
    <w:p>
      <w:pPr>
        <w:adjustRightInd w:val="0"/>
        <w:snapToGrid w:val="0"/>
        <w:jc w:val="center"/>
        <w:rPr>
          <w:rFonts w:ascii="宋体" w:hAnsi="宋体"/>
          <w:b/>
        </w:rPr>
      </w:pPr>
      <w:r>
        <w:rPr>
          <w:rFonts w:hint="eastAsia" w:ascii="宋体" w:hAnsi="宋体"/>
          <w:b/>
        </w:rPr>
        <w:t>阳光合作协议</w:t>
      </w:r>
    </w:p>
    <w:p>
      <w:pPr>
        <w:adjustRightInd w:val="0"/>
        <w:snapToGrid w:val="0"/>
        <w:rPr>
          <w:rFonts w:ascii="宋体" w:hAnsi="宋体"/>
          <w:sz w:val="20"/>
          <w:szCs w:val="20"/>
        </w:rPr>
      </w:pPr>
      <w:r>
        <w:rPr>
          <w:rFonts w:hint="eastAsia" w:ascii="宋体" w:hAnsi="宋体"/>
          <w:sz w:val="20"/>
          <w:szCs w:val="20"/>
        </w:rPr>
        <w:t>甲方：    </w:t>
      </w:r>
    </w:p>
    <w:p>
      <w:pPr>
        <w:adjustRightInd w:val="0"/>
        <w:snapToGrid w:val="0"/>
        <w:rPr>
          <w:rFonts w:ascii="宋体" w:hAnsi="宋体"/>
          <w:sz w:val="20"/>
          <w:szCs w:val="20"/>
        </w:rPr>
      </w:pPr>
      <w:r>
        <w:rPr>
          <w:rFonts w:hint="eastAsia" w:ascii="宋体" w:hAnsi="宋体"/>
          <w:sz w:val="20"/>
          <w:szCs w:val="20"/>
        </w:rPr>
        <w:t xml:space="preserve">乙方：             </w:t>
      </w:r>
    </w:p>
    <w:p>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rPr>
      </w:pPr>
      <w:r>
        <w:rPr>
          <w:rFonts w:hint="eastAsia" w:ascii="宋体" w:hAnsi="宋体"/>
          <w:sz w:val="20"/>
          <w:szCs w:val="20"/>
        </w:rPr>
        <w:t>一、甲方责任</w:t>
      </w:r>
    </w:p>
    <w:p>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二、乙方责任</w:t>
      </w:r>
    </w:p>
    <w:p>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rPr>
      </w:pPr>
      <w:r>
        <w:rPr>
          <w:rFonts w:hint="eastAsia" w:ascii="宋体" w:hAnsi="宋体"/>
          <w:sz w:val="20"/>
          <w:szCs w:val="20"/>
        </w:rPr>
        <w:t xml:space="preserve">举报受理部门： </w:t>
      </w:r>
    </w:p>
    <w:p>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三、违约责任</w:t>
      </w:r>
    </w:p>
    <w:p>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rPr>
      </w:pPr>
      <w:r>
        <w:rPr>
          <w:rFonts w:ascii="宋体" w:hAnsi="宋体"/>
          <w:sz w:val="20"/>
          <w:szCs w:val="20"/>
        </w:rPr>
        <w:tab/>
      </w:r>
    </w:p>
    <w:p>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pPr>
        <w:rPr>
          <w:rFonts w:ascii="宋体" w:hAnsi="宋体"/>
          <w:sz w:val="20"/>
          <w:szCs w:val="20"/>
        </w:rPr>
      </w:pPr>
      <w:r>
        <w:rPr>
          <w:rFonts w:hint="eastAsia" w:ascii="宋体" w:hAnsi="宋体" w:cs="宋体"/>
          <w:sz w:val="20"/>
          <w:szCs w:val="20"/>
        </w:rPr>
        <w:t>（以下无正文，仅签署）</w:t>
      </w:r>
    </w:p>
    <w:p>
      <w:pPr>
        <w:ind w:firstLine="400" w:firstLineChars="200"/>
        <w:rPr>
          <w:rFonts w:ascii="宋体" w:hAnsi="宋体"/>
          <w:sz w:val="20"/>
          <w:szCs w:val="20"/>
        </w:rPr>
      </w:pPr>
    </w:p>
    <w:p>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pPr>
        <w:ind w:firstLine="400" w:firstLineChars="200"/>
        <w:rPr>
          <w:rFonts w:ascii="宋体" w:hAnsi="宋体"/>
          <w:sz w:val="20"/>
          <w:szCs w:val="20"/>
        </w:rPr>
      </w:pPr>
    </w:p>
    <w:p>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pPr>
        <w:spacing w:before="120" w:beforeLines="50" w:after="120" w:afterLines="50"/>
        <w:outlineLvl w:val="0"/>
        <w:rPr>
          <w:rFonts w:hint="eastAsia" w:ascii="Arial" w:hAnsi="Arial" w:eastAsia="宋体" w:cs="宋体"/>
          <w:b/>
          <w:sz w:val="22"/>
          <w:szCs w:val="22"/>
        </w:rPr>
        <w:sectPr>
          <w:footerReference r:id="rId11"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480" w:lineRule="exact"/>
        <w:jc w:val="right"/>
        <w:rPr>
          <w:rFonts w:ascii="Arial" w:hAnsi="Arial" w:eastAsia="宋体" w:cs="宋体"/>
          <w:b/>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12"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pPr>
        <w:adjustRightInd w:val="0"/>
        <w:spacing w:line="380" w:lineRule="exact"/>
        <w:textAlignment w:val="baseline"/>
        <w:rPr>
          <w:rFonts w:ascii="Arial" w:hAnsi="Arial" w:eastAsia="宋体" w:cs="宋体"/>
          <w:b/>
          <w:snapToGrid w:val="0"/>
          <w:kern w:val="0"/>
          <w:sz w:val="22"/>
          <w:szCs w:val="22"/>
        </w:rPr>
      </w:pPr>
    </w:p>
    <w:p>
      <w:pPr>
        <w:adjustRightInd w:val="0"/>
        <w:spacing w:line="380" w:lineRule="exact"/>
        <w:textAlignment w:val="baseline"/>
        <w:rPr>
          <w:rFonts w:ascii="Arial" w:hAnsi="Arial" w:eastAsia="宋体" w:cs="宋体"/>
          <w:b/>
          <w:snapToGrid w:val="0"/>
          <w:kern w:val="0"/>
          <w:sz w:val="22"/>
          <w:szCs w:val="22"/>
        </w:rPr>
      </w:pPr>
    </w:p>
    <w:p>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480" w:lineRule="exact"/>
        <w:rPr>
          <w:rFonts w:ascii="Arial" w:hAnsi="Arial" w:eastAsia="宋体" w:cs="宋体"/>
          <w:b/>
          <w:snapToGrid w:val="0"/>
          <w:kern w:val="0"/>
          <w:sz w:val="22"/>
          <w:szCs w:val="22"/>
        </w:rPr>
      </w:pPr>
    </w:p>
    <w:p/>
    <w:p>
      <w:pPr>
        <w:pStyle w:val="2"/>
        <w:rPr>
          <w:rFonts w:hint="default"/>
          <w:lang w:val="en-US" w:eastAsia="zh-CN"/>
        </w:rPr>
      </w:pPr>
    </w:p>
    <w:p>
      <w:pPr>
        <w:rPr>
          <w:rFonts w:hint="default"/>
          <w:sz w:val="20"/>
          <w:szCs w:val="21"/>
        </w:rPr>
        <w:sectPr>
          <w:footerReference r:id="rId13"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p>
      <w:pPr>
        <w:bidi w:val="0"/>
        <w:jc w:val="left"/>
        <w:rPr>
          <w:rFonts w:hint="default"/>
          <w:lang w:val="en-US" w:eastAsia="zh-CN"/>
        </w:rPr>
      </w:pPr>
    </w:p>
    <w:sectPr>
      <w:footerReference r:id="rId14"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6ED9CE7-5DF7-4EEA-9B4F-F5024B768BA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5F3B7A8-6C2C-4CB0-9A6F-014DF6950A9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28880B37-E7DE-47B4-8660-D5BD7E9A58D0}"/>
  </w:font>
  <w:font w:name="方正仿宋_GB2312">
    <w:panose1 w:val="02000000000000000000"/>
    <w:charset w:val="86"/>
    <w:family w:val="auto"/>
    <w:pitch w:val="default"/>
    <w:sig w:usb0="A00002BF" w:usb1="184F6CFA" w:usb2="00000012" w:usb3="00000000" w:csb0="00040001" w:csb1="00000000"/>
    <w:embedRegular r:id="rId4" w:fontKey="{5237E86A-C694-42F3-81E7-3100263B1E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14935" cy="147955"/>
              <wp:effectExtent l="0" t="0" r="0" b="0"/>
              <wp:wrapNone/>
              <wp:docPr id="15"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70528;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BNcYmB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MWnDlhaeLHH9+PP38f&#10;f31jl8mfPmBFZffhDqYTUpjEDi3Y9CYZbMieHs6eqiEyScmyvLq+JGhJV+XVm+vFImEWjx8HwPhe&#10;ectSUHOgkWUnxf4jxrH0VJJ6OX+rjaG8qIz7K0GYKVMkviPDFMVhM0y0N745kNiepl1zR8vNmfng&#10;yMy0GKcATsHmFOwC6G1H1MrMC8O7XSQSmVvqMMJOjWlMWd20UmkP/jznqsffaPU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E1xiYH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w:t>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  \* MERGEFORMAT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w:t>
                    </w:r>
                    <w:r>
                      <w:rPr>
                        <w:rFonts w:hint="eastAsia" w:asciiTheme="minorEastAsia" w:hAnsiTheme="minorEastAsia" w:eastAsiaTheme="minorEastAsia" w:cstheme="minorEastAsia"/>
                        <w:sz w:val="32"/>
                        <w:szCs w:val="32"/>
                      </w:rPr>
                      <w:fldChar w:fldCharType="begin"/>
                    </w:r>
                    <w:r>
                      <w:rPr>
                        <w:rFonts w:hint="eastAsia" w:asciiTheme="minorEastAsia" w:hAnsiTheme="minorEastAsia" w:eastAsiaTheme="minorEastAsia" w:cstheme="minorEastAsia"/>
                        <w:sz w:val="32"/>
                        <w:szCs w:val="32"/>
                      </w:rPr>
                      <w:instrText xml:space="preserve"> PAGE  \* MERGEFORMAT </w:instrText>
                    </w:r>
                    <w:r>
                      <w:rPr>
                        <w:rFonts w:hint="eastAsia" w:asciiTheme="minorEastAsia" w:hAnsiTheme="minorEastAsia" w:eastAsiaTheme="minorEastAsia" w:cstheme="minorEastAsia"/>
                        <w:sz w:val="32"/>
                        <w:szCs w:val="32"/>
                      </w:rPr>
                      <w:fldChar w:fldCharType="separate"/>
                    </w:r>
                    <w:r>
                      <w:rPr>
                        <w:rFonts w:hint="eastAsia" w:asciiTheme="minorEastAsia" w:hAnsiTheme="minorEastAsia" w:eastAsiaTheme="minorEastAsia" w:cstheme="minorEastAsia"/>
                        <w:sz w:val="32"/>
                        <w:szCs w:val="32"/>
                      </w:rPr>
                      <w:t>1</w:t>
                    </w:r>
                    <w:r>
                      <w:rPr>
                        <w:rFonts w:hint="eastAsia" w:asciiTheme="minorEastAsia" w:hAnsiTheme="minorEastAsia" w:eastAsiaTheme="minorEastAsia" w:cstheme="minorEastAsia"/>
                        <w:sz w:val="32"/>
                        <w:szCs w:val="32"/>
                      </w:rPr>
                      <w:fldChar w:fldCharType="end"/>
                    </w:r>
                    <w:r>
                      <w:rPr>
                        <w:rFonts w:hint="eastAsia" w:asciiTheme="minorEastAsia" w:hAnsiTheme="minorEastAsia" w:eastAsiaTheme="minorEastAsia" w:cstheme="minorEastAsia"/>
                        <w:sz w:val="32"/>
                        <w:szCs w:val="32"/>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7955"/>
              <wp:effectExtent l="0" t="0" r="0" b="0"/>
              <wp:wrapNone/>
              <wp:docPr id="1"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2336;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BvzGKOyQEAAI0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M4c8LSwI8/vh9//j7+&#10;+sYukz19wIqq7sMdTCekMGkdWrDpTSrYkC09nC1VQ2SSkmV5dX254EzSVXn15nqxSJjF48cBML5X&#10;3rIU1BxoYtlIsf+IcSw9laRezt9qYygvKuP+ShBmyhSJ78gwRXHYDBPtjW8OpLWnYdfc0W5zZj44&#10;8jLtxSmAU7A5BbsAetsRtTLzwvBuF4lE5pY6jLBTY5pSVjdtVFqDP8+56vEvWj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G/MYo7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47955"/>
              <wp:effectExtent l="0" t="0" r="0" b="0"/>
              <wp:wrapNone/>
              <wp:docPr id="3"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3360;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CzJ/GMyQEAAI0DAAAOAAAAZHJzL2Uyb0RvYy54bWytU82O0zAQviPx&#10;DpbvNM12C2z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gzAlLA7//8f3+5+/7&#10;X9/YItnTB6yo6i7cwnRCCpPWoQWb3qSCDdnS49lSNUQmKVmWl1eLJWeSrsrLN1fLZ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LMn8Yz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47955"/>
              <wp:effectExtent l="0" t="0" r="0" b="0"/>
              <wp:wrapNone/>
              <wp:docPr id="4"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4384;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57gyKyQEAAI0DAAAOAAAAZHJzL2Uyb0RvYy54bWytU82O0zAQviPx&#10;DpbvNM1uC2z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gzAlLA7//8f3+5+/7&#10;X9/YZbKnD1hR1V24hemEFCatQws2vUkFG7Klx7OlaohMUrIsF1eXS84kXZWLN1fLZ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DnuDIr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47955"/>
              <wp:effectExtent l="0" t="0" r="0" b="0"/>
              <wp:wrapNone/>
              <wp:docPr id="7"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5408;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Avw1on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47955"/>
              <wp:effectExtent l="0" t="0" r="0" b="0"/>
              <wp:wrapNone/>
              <wp:docPr id="8"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6432;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DxlmSFyQEAAI0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k5jd8LSwI8/vh9//j7+&#10;+sYukz19wIqq7sMdTCekMGkdWrDpTSrYkC09nC1VQ2SSkmV5dX254EzSVXn15nqxSJjF48cBML5X&#10;3rIU1BxoYtlIsf+IcSw9laRezt9qYygvKuP+ShBmyhSJ78gwRXHYDBPtjW8OpLWnYdfc0W5zZj44&#10;8jLtxSmAU7A5BbsAetsRtTLzwvBuF4lE5pY6jLBTY5pSVjdtVFqDP8+56vEvWj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PGWZIX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147955"/>
              <wp:effectExtent l="0" t="0" r="0" b="0"/>
              <wp:wrapNone/>
              <wp:docPr id="9"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7456;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fYy2EyQEAAI0DAAAOAAAAZHJzL2Uyb0RvYy54bWytU82O0zAQviPx&#10;DpbvNM3uFmj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kzAlLA7//8f3+5+/7&#10;X9/YZbKnD1hR1V24hemEFCatQws2vUkFG7Klx7OlaohMUrIsr5aXC84kXZVXb5aLR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B9jLYT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14935" cy="147955"/>
              <wp:effectExtent l="0" t="0" r="0" b="0"/>
              <wp:wrapNone/>
              <wp:docPr id="10"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8480;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bU+eF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PIEicsTfz44/vx5+/j&#10;r2/sMvnTB6yo7D7cwXRCCpPYoQWb3iSDDdnTw9lTNUQmKVmWV9eXC84kXZVXb64Xi4RZPH4cAON7&#10;5S1LQc2BRpadFPuPGMfSU0nq5fytNobyojLurwRhpkyR+I4MUxSHzTDR3vjmQGJ7mnbNHS03Z+aD&#10;IzPTYpwCOAWbU7ALoLcdUSszLwzvdpFIZG6pwwg7NaYxZXXTSqU9+POcqx5/o9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BtT54X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47955"/>
              <wp:effectExtent l="0" t="0" r="0" b="0"/>
              <wp:wrapNone/>
              <wp:docPr id="11"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9504;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D1pq6E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NKzpywNPHjj+/Hn7+P&#10;v76xy+RPH7CisvtwB9MJKUxihxZsepMMNmRPD2dP1RCZpGRZXl1fLjiTdFVevbleLBJm8fhxAIzv&#10;lbcsBTUHGll2Uuw/YhxLTyWpl/O32hjKi8q4vxKEmTJF4jsyTFEcNsNEe+ObA4ntado1d7TcnJkP&#10;jsxMi3EK4BRsTsEugN52RK3MvDC820UikbmlDiPs1JjGlNVNK5X24M9zrnr8jV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PWmroT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244DF46"/>
    <w:multiLevelType w:val="singleLevel"/>
    <w:tmpl w:val="1244DF46"/>
    <w:lvl w:ilvl="0" w:tentative="0">
      <w:start w:val="4"/>
      <w:numFmt w:val="chineseCounting"/>
      <w:suff w:val="nothing"/>
      <w:lvlText w:val="（%1）"/>
      <w:lvlJc w:val="left"/>
      <w:rPr>
        <w:rFonts w:hint="eastAsia"/>
      </w:rPr>
    </w:lvl>
  </w:abstractNum>
  <w:abstractNum w:abstractNumId="4">
    <w:nsid w:val="5DBD638F"/>
    <w:multiLevelType w:val="singleLevel"/>
    <w:tmpl w:val="5DBD638F"/>
    <w:lvl w:ilvl="0" w:tentative="0">
      <w:start w:val="1"/>
      <w:numFmt w:val="decimal"/>
      <w:suff w:val="nothing"/>
      <w:lvlText w:val="（%1）"/>
      <w:lvlJc w:val="left"/>
    </w:lvl>
  </w:abstractNum>
  <w:abstractNum w:abstractNumId="5">
    <w:nsid w:val="61CBD056"/>
    <w:multiLevelType w:val="singleLevel"/>
    <w:tmpl w:val="61CBD056"/>
    <w:lvl w:ilvl="0" w:tentative="0">
      <w:start w:val="1"/>
      <w:numFmt w:val="decimal"/>
      <w:lvlText w:val="(%1)"/>
      <w:lvlJc w:val="left"/>
      <w:pPr>
        <w:ind w:left="425" w:hanging="425"/>
      </w:pPr>
      <w:rPr>
        <w:rFonts w:hint="default"/>
      </w:rPr>
    </w:lvl>
  </w:abstractNum>
  <w:abstractNum w:abstractNumId="6">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953D9C"/>
    <w:rsid w:val="012F3782"/>
    <w:rsid w:val="01B85CDA"/>
    <w:rsid w:val="01D312A0"/>
    <w:rsid w:val="020F7B7E"/>
    <w:rsid w:val="025E1CD2"/>
    <w:rsid w:val="02987B74"/>
    <w:rsid w:val="029E55D3"/>
    <w:rsid w:val="032D4C02"/>
    <w:rsid w:val="035148F2"/>
    <w:rsid w:val="035D45A8"/>
    <w:rsid w:val="03650E8B"/>
    <w:rsid w:val="03932686"/>
    <w:rsid w:val="03B60A82"/>
    <w:rsid w:val="03B650ED"/>
    <w:rsid w:val="048A76BA"/>
    <w:rsid w:val="051E6717"/>
    <w:rsid w:val="059F0AE9"/>
    <w:rsid w:val="05E256B5"/>
    <w:rsid w:val="06190150"/>
    <w:rsid w:val="062C0D8A"/>
    <w:rsid w:val="064A07A5"/>
    <w:rsid w:val="069F65D6"/>
    <w:rsid w:val="07010352"/>
    <w:rsid w:val="07012E2A"/>
    <w:rsid w:val="073E6F3C"/>
    <w:rsid w:val="07840D87"/>
    <w:rsid w:val="07992243"/>
    <w:rsid w:val="07B62681"/>
    <w:rsid w:val="083054CD"/>
    <w:rsid w:val="086B709C"/>
    <w:rsid w:val="087D7F38"/>
    <w:rsid w:val="08892439"/>
    <w:rsid w:val="08A74FB5"/>
    <w:rsid w:val="08E27267"/>
    <w:rsid w:val="08F5187C"/>
    <w:rsid w:val="090D2924"/>
    <w:rsid w:val="095C5D9F"/>
    <w:rsid w:val="0A1C57C7"/>
    <w:rsid w:val="0AAC4CEF"/>
    <w:rsid w:val="0AC06A5E"/>
    <w:rsid w:val="0AE07FCA"/>
    <w:rsid w:val="0AE94FA3"/>
    <w:rsid w:val="0B285948"/>
    <w:rsid w:val="0B8511CF"/>
    <w:rsid w:val="0B946386"/>
    <w:rsid w:val="0BB91846"/>
    <w:rsid w:val="0C3833A2"/>
    <w:rsid w:val="0C3B3D7C"/>
    <w:rsid w:val="0C954748"/>
    <w:rsid w:val="0CBD0903"/>
    <w:rsid w:val="0D5119C1"/>
    <w:rsid w:val="0D531267"/>
    <w:rsid w:val="0D6A48DF"/>
    <w:rsid w:val="0DA30469"/>
    <w:rsid w:val="0E2426C1"/>
    <w:rsid w:val="0E874573"/>
    <w:rsid w:val="0EAA6A76"/>
    <w:rsid w:val="0EB41C7B"/>
    <w:rsid w:val="0EDC767D"/>
    <w:rsid w:val="0EE11876"/>
    <w:rsid w:val="0EE669F0"/>
    <w:rsid w:val="0F5120AB"/>
    <w:rsid w:val="0F5507D6"/>
    <w:rsid w:val="0F6918F1"/>
    <w:rsid w:val="0FA22032"/>
    <w:rsid w:val="0FC332A8"/>
    <w:rsid w:val="0FCA431A"/>
    <w:rsid w:val="10066A65"/>
    <w:rsid w:val="110179E3"/>
    <w:rsid w:val="113C4C33"/>
    <w:rsid w:val="11614615"/>
    <w:rsid w:val="11694621"/>
    <w:rsid w:val="116A5B28"/>
    <w:rsid w:val="11C45325"/>
    <w:rsid w:val="11C955FD"/>
    <w:rsid w:val="12B2465F"/>
    <w:rsid w:val="12F26B9C"/>
    <w:rsid w:val="13337B71"/>
    <w:rsid w:val="135C5A87"/>
    <w:rsid w:val="13645F7C"/>
    <w:rsid w:val="13654EEB"/>
    <w:rsid w:val="138D5A83"/>
    <w:rsid w:val="13AA087C"/>
    <w:rsid w:val="14530EC6"/>
    <w:rsid w:val="14553B17"/>
    <w:rsid w:val="14580115"/>
    <w:rsid w:val="14743FE0"/>
    <w:rsid w:val="148C3C1A"/>
    <w:rsid w:val="14E056CD"/>
    <w:rsid w:val="15AA2A5F"/>
    <w:rsid w:val="15AE7AEB"/>
    <w:rsid w:val="15E4523E"/>
    <w:rsid w:val="163668C2"/>
    <w:rsid w:val="17667DE9"/>
    <w:rsid w:val="176A436C"/>
    <w:rsid w:val="178D198F"/>
    <w:rsid w:val="179730F3"/>
    <w:rsid w:val="17A55A47"/>
    <w:rsid w:val="18655F01"/>
    <w:rsid w:val="188A7548"/>
    <w:rsid w:val="18E92D3A"/>
    <w:rsid w:val="18FD4D5E"/>
    <w:rsid w:val="196B4343"/>
    <w:rsid w:val="1975792A"/>
    <w:rsid w:val="1996224F"/>
    <w:rsid w:val="19BF1E22"/>
    <w:rsid w:val="1A3C145A"/>
    <w:rsid w:val="1AA17FB1"/>
    <w:rsid w:val="1AFC4CEC"/>
    <w:rsid w:val="1B21665E"/>
    <w:rsid w:val="1B5329C3"/>
    <w:rsid w:val="1BC459FB"/>
    <w:rsid w:val="1C1B56C1"/>
    <w:rsid w:val="1C4619E3"/>
    <w:rsid w:val="1C4A1A87"/>
    <w:rsid w:val="1C7F705E"/>
    <w:rsid w:val="1C8D2C11"/>
    <w:rsid w:val="1CCA1903"/>
    <w:rsid w:val="1CD05E0F"/>
    <w:rsid w:val="1D14783F"/>
    <w:rsid w:val="1DD73279"/>
    <w:rsid w:val="1DE013E4"/>
    <w:rsid w:val="1DF00C2C"/>
    <w:rsid w:val="1E2F53D8"/>
    <w:rsid w:val="1EEE7042"/>
    <w:rsid w:val="1F1C595D"/>
    <w:rsid w:val="1F523485"/>
    <w:rsid w:val="1F9033E3"/>
    <w:rsid w:val="1FAF039A"/>
    <w:rsid w:val="1FFE2404"/>
    <w:rsid w:val="20096C46"/>
    <w:rsid w:val="20D54F8B"/>
    <w:rsid w:val="2102542F"/>
    <w:rsid w:val="21130DC0"/>
    <w:rsid w:val="214E22A7"/>
    <w:rsid w:val="215605AB"/>
    <w:rsid w:val="216852CD"/>
    <w:rsid w:val="218A14B4"/>
    <w:rsid w:val="21BE0F4D"/>
    <w:rsid w:val="21E12709"/>
    <w:rsid w:val="222B45B4"/>
    <w:rsid w:val="22355C2D"/>
    <w:rsid w:val="22AA7406"/>
    <w:rsid w:val="2378095B"/>
    <w:rsid w:val="238A6013"/>
    <w:rsid w:val="23E33924"/>
    <w:rsid w:val="24A254AD"/>
    <w:rsid w:val="24F62BAE"/>
    <w:rsid w:val="25514C22"/>
    <w:rsid w:val="264B2324"/>
    <w:rsid w:val="26C06B7A"/>
    <w:rsid w:val="26F070A5"/>
    <w:rsid w:val="26FD4B9E"/>
    <w:rsid w:val="274666E1"/>
    <w:rsid w:val="28A65563"/>
    <w:rsid w:val="290135E4"/>
    <w:rsid w:val="2906507E"/>
    <w:rsid w:val="290D79C1"/>
    <w:rsid w:val="29347855"/>
    <w:rsid w:val="29890D0F"/>
    <w:rsid w:val="29E01141"/>
    <w:rsid w:val="2A1A4A18"/>
    <w:rsid w:val="2A465F84"/>
    <w:rsid w:val="2A6743BF"/>
    <w:rsid w:val="2A9E14C9"/>
    <w:rsid w:val="2AE7529F"/>
    <w:rsid w:val="2B5E72FD"/>
    <w:rsid w:val="2B966BC3"/>
    <w:rsid w:val="2C11611D"/>
    <w:rsid w:val="2C543E8F"/>
    <w:rsid w:val="2C714F3D"/>
    <w:rsid w:val="2C7F14A1"/>
    <w:rsid w:val="2C9E1BE4"/>
    <w:rsid w:val="2CD45478"/>
    <w:rsid w:val="2D3A0DF6"/>
    <w:rsid w:val="2D595FCE"/>
    <w:rsid w:val="2DB01173"/>
    <w:rsid w:val="2DC03C5B"/>
    <w:rsid w:val="2DE75388"/>
    <w:rsid w:val="2E0E333C"/>
    <w:rsid w:val="2E8F5DBB"/>
    <w:rsid w:val="2ECB14C4"/>
    <w:rsid w:val="2EF97A69"/>
    <w:rsid w:val="2FBB2009"/>
    <w:rsid w:val="3038610E"/>
    <w:rsid w:val="3060195A"/>
    <w:rsid w:val="30B822FE"/>
    <w:rsid w:val="31207919"/>
    <w:rsid w:val="31AD5D77"/>
    <w:rsid w:val="31EC2828"/>
    <w:rsid w:val="320F1351"/>
    <w:rsid w:val="3247040D"/>
    <w:rsid w:val="32B31CDC"/>
    <w:rsid w:val="32D81BB9"/>
    <w:rsid w:val="331D184C"/>
    <w:rsid w:val="33D760FF"/>
    <w:rsid w:val="344B1CDB"/>
    <w:rsid w:val="34677222"/>
    <w:rsid w:val="352F17E9"/>
    <w:rsid w:val="359572B3"/>
    <w:rsid w:val="359E7780"/>
    <w:rsid w:val="35E6686D"/>
    <w:rsid w:val="3696566D"/>
    <w:rsid w:val="369A6387"/>
    <w:rsid w:val="36F77EC6"/>
    <w:rsid w:val="376917E5"/>
    <w:rsid w:val="380F5C07"/>
    <w:rsid w:val="388D0662"/>
    <w:rsid w:val="38AF2F46"/>
    <w:rsid w:val="38C00788"/>
    <w:rsid w:val="38CE5AC2"/>
    <w:rsid w:val="38ED58A0"/>
    <w:rsid w:val="39E427C1"/>
    <w:rsid w:val="39F310AA"/>
    <w:rsid w:val="3A522CCD"/>
    <w:rsid w:val="3A756D8D"/>
    <w:rsid w:val="3A9956A6"/>
    <w:rsid w:val="3AB47EAF"/>
    <w:rsid w:val="3AD212C8"/>
    <w:rsid w:val="3B903FA6"/>
    <w:rsid w:val="3BA2576B"/>
    <w:rsid w:val="3BBA274A"/>
    <w:rsid w:val="3C3B4747"/>
    <w:rsid w:val="3D0A0C0E"/>
    <w:rsid w:val="3D580050"/>
    <w:rsid w:val="3D8B0592"/>
    <w:rsid w:val="3D933369"/>
    <w:rsid w:val="3DA1086D"/>
    <w:rsid w:val="3E806C6F"/>
    <w:rsid w:val="3E930A34"/>
    <w:rsid w:val="3EA37700"/>
    <w:rsid w:val="3EF97CE8"/>
    <w:rsid w:val="3F7153F9"/>
    <w:rsid w:val="3FA72572"/>
    <w:rsid w:val="3FB9191F"/>
    <w:rsid w:val="40137B3D"/>
    <w:rsid w:val="40326239"/>
    <w:rsid w:val="404001EF"/>
    <w:rsid w:val="40643187"/>
    <w:rsid w:val="40D734F8"/>
    <w:rsid w:val="40E1035D"/>
    <w:rsid w:val="417A6F5E"/>
    <w:rsid w:val="423D7815"/>
    <w:rsid w:val="428B4E0F"/>
    <w:rsid w:val="42EE5A37"/>
    <w:rsid w:val="4342152E"/>
    <w:rsid w:val="436670EC"/>
    <w:rsid w:val="43D360C7"/>
    <w:rsid w:val="447B58D7"/>
    <w:rsid w:val="44CE0D05"/>
    <w:rsid w:val="45147481"/>
    <w:rsid w:val="451575D3"/>
    <w:rsid w:val="45E81197"/>
    <w:rsid w:val="46877406"/>
    <w:rsid w:val="46965745"/>
    <w:rsid w:val="46DE3369"/>
    <w:rsid w:val="46E90CF3"/>
    <w:rsid w:val="471208B6"/>
    <w:rsid w:val="4730511F"/>
    <w:rsid w:val="478B183F"/>
    <w:rsid w:val="47937AE0"/>
    <w:rsid w:val="48070ADC"/>
    <w:rsid w:val="48620B48"/>
    <w:rsid w:val="48E6272D"/>
    <w:rsid w:val="491237A9"/>
    <w:rsid w:val="49695F01"/>
    <w:rsid w:val="497D499A"/>
    <w:rsid w:val="49C97538"/>
    <w:rsid w:val="4A11580F"/>
    <w:rsid w:val="4A1A5D74"/>
    <w:rsid w:val="4A556EC5"/>
    <w:rsid w:val="4A55736A"/>
    <w:rsid w:val="4AFA44A5"/>
    <w:rsid w:val="4B0D0A00"/>
    <w:rsid w:val="4B2C08E7"/>
    <w:rsid w:val="4B427A3B"/>
    <w:rsid w:val="4B4C5E55"/>
    <w:rsid w:val="4B747426"/>
    <w:rsid w:val="4B781FCF"/>
    <w:rsid w:val="4BA0769B"/>
    <w:rsid w:val="4BE46D25"/>
    <w:rsid w:val="4BEB6DBA"/>
    <w:rsid w:val="4C296C8E"/>
    <w:rsid w:val="4C2F3E16"/>
    <w:rsid w:val="4C542C15"/>
    <w:rsid w:val="4C915F84"/>
    <w:rsid w:val="4CA3296A"/>
    <w:rsid w:val="4D615164"/>
    <w:rsid w:val="4D752558"/>
    <w:rsid w:val="4DB841F3"/>
    <w:rsid w:val="4DE86E96"/>
    <w:rsid w:val="4DF67662"/>
    <w:rsid w:val="4E314AD3"/>
    <w:rsid w:val="4E3639B3"/>
    <w:rsid w:val="4E7202A3"/>
    <w:rsid w:val="4EDC0D9D"/>
    <w:rsid w:val="4F061B38"/>
    <w:rsid w:val="4F2002A2"/>
    <w:rsid w:val="4F562285"/>
    <w:rsid w:val="4FDF1F0B"/>
    <w:rsid w:val="4FF66767"/>
    <w:rsid w:val="50024740"/>
    <w:rsid w:val="5048269F"/>
    <w:rsid w:val="504A345E"/>
    <w:rsid w:val="5076490F"/>
    <w:rsid w:val="512037B7"/>
    <w:rsid w:val="514E10F6"/>
    <w:rsid w:val="516440E9"/>
    <w:rsid w:val="51FE1619"/>
    <w:rsid w:val="521D6EFF"/>
    <w:rsid w:val="529B4DD8"/>
    <w:rsid w:val="52A91EB3"/>
    <w:rsid w:val="52BA2046"/>
    <w:rsid w:val="530D6D8F"/>
    <w:rsid w:val="534765D1"/>
    <w:rsid w:val="53DF697E"/>
    <w:rsid w:val="541C50CC"/>
    <w:rsid w:val="542C086C"/>
    <w:rsid w:val="542F55B8"/>
    <w:rsid w:val="54820367"/>
    <w:rsid w:val="54837309"/>
    <w:rsid w:val="54A4554C"/>
    <w:rsid w:val="55BA258D"/>
    <w:rsid w:val="561D3D2D"/>
    <w:rsid w:val="569A2FA8"/>
    <w:rsid w:val="569F2839"/>
    <w:rsid w:val="56CC69AE"/>
    <w:rsid w:val="576C5EFE"/>
    <w:rsid w:val="57AA4790"/>
    <w:rsid w:val="57F80AB2"/>
    <w:rsid w:val="582A632A"/>
    <w:rsid w:val="583519EB"/>
    <w:rsid w:val="58D93E18"/>
    <w:rsid w:val="58F76C08"/>
    <w:rsid w:val="596345C4"/>
    <w:rsid w:val="59BB0341"/>
    <w:rsid w:val="59BB7545"/>
    <w:rsid w:val="59DB32DA"/>
    <w:rsid w:val="5A9A1469"/>
    <w:rsid w:val="5A9C7376"/>
    <w:rsid w:val="5B1A73DD"/>
    <w:rsid w:val="5B7B72E5"/>
    <w:rsid w:val="5BE83C02"/>
    <w:rsid w:val="5C02341C"/>
    <w:rsid w:val="5C4C650B"/>
    <w:rsid w:val="5CD30445"/>
    <w:rsid w:val="5D1B29FF"/>
    <w:rsid w:val="5D2101CC"/>
    <w:rsid w:val="5D86637E"/>
    <w:rsid w:val="5D885990"/>
    <w:rsid w:val="5D8F7FDF"/>
    <w:rsid w:val="5EA309D1"/>
    <w:rsid w:val="5EB44EE4"/>
    <w:rsid w:val="5ECA1515"/>
    <w:rsid w:val="5F28035F"/>
    <w:rsid w:val="5F3F6522"/>
    <w:rsid w:val="5F7418E2"/>
    <w:rsid w:val="5F820E88"/>
    <w:rsid w:val="5F916233"/>
    <w:rsid w:val="5F982816"/>
    <w:rsid w:val="5FF33BCD"/>
    <w:rsid w:val="5FF942C4"/>
    <w:rsid w:val="609603D4"/>
    <w:rsid w:val="60B25C51"/>
    <w:rsid w:val="60DA0BF8"/>
    <w:rsid w:val="60F32D86"/>
    <w:rsid w:val="610C48F6"/>
    <w:rsid w:val="61334E5D"/>
    <w:rsid w:val="615B6EC4"/>
    <w:rsid w:val="61672425"/>
    <w:rsid w:val="61B5380E"/>
    <w:rsid w:val="61D36131"/>
    <w:rsid w:val="61EA65C1"/>
    <w:rsid w:val="621517BC"/>
    <w:rsid w:val="62404A8B"/>
    <w:rsid w:val="624C2342"/>
    <w:rsid w:val="624F1172"/>
    <w:rsid w:val="62A82630"/>
    <w:rsid w:val="63107336"/>
    <w:rsid w:val="63E46D96"/>
    <w:rsid w:val="63FE1843"/>
    <w:rsid w:val="640A431E"/>
    <w:rsid w:val="64525A3D"/>
    <w:rsid w:val="64B83CD8"/>
    <w:rsid w:val="64C003BC"/>
    <w:rsid w:val="656230AA"/>
    <w:rsid w:val="65970B6C"/>
    <w:rsid w:val="65B50EDE"/>
    <w:rsid w:val="66507267"/>
    <w:rsid w:val="66661622"/>
    <w:rsid w:val="66A82278"/>
    <w:rsid w:val="66A85FB5"/>
    <w:rsid w:val="66FC24CA"/>
    <w:rsid w:val="67184424"/>
    <w:rsid w:val="676A016D"/>
    <w:rsid w:val="67DC7AF8"/>
    <w:rsid w:val="67F51E74"/>
    <w:rsid w:val="68614E91"/>
    <w:rsid w:val="68887C1C"/>
    <w:rsid w:val="68C94619"/>
    <w:rsid w:val="68D45F2D"/>
    <w:rsid w:val="693410C2"/>
    <w:rsid w:val="69B07103"/>
    <w:rsid w:val="69B17813"/>
    <w:rsid w:val="69E50BBC"/>
    <w:rsid w:val="6A20773A"/>
    <w:rsid w:val="6A6119AC"/>
    <w:rsid w:val="6AE2305E"/>
    <w:rsid w:val="6B817108"/>
    <w:rsid w:val="6BB43DF4"/>
    <w:rsid w:val="6BE6607E"/>
    <w:rsid w:val="6BEF307E"/>
    <w:rsid w:val="6C5850C7"/>
    <w:rsid w:val="6CC951A5"/>
    <w:rsid w:val="6D256EC2"/>
    <w:rsid w:val="6D6852D7"/>
    <w:rsid w:val="6E3014F3"/>
    <w:rsid w:val="6E435CFB"/>
    <w:rsid w:val="6EAA5C29"/>
    <w:rsid w:val="6F06600E"/>
    <w:rsid w:val="6F510522"/>
    <w:rsid w:val="703C13EF"/>
    <w:rsid w:val="706C23D6"/>
    <w:rsid w:val="70A30AC2"/>
    <w:rsid w:val="70B372F7"/>
    <w:rsid w:val="70C20053"/>
    <w:rsid w:val="710B2946"/>
    <w:rsid w:val="71536830"/>
    <w:rsid w:val="720F5043"/>
    <w:rsid w:val="72AA7CFF"/>
    <w:rsid w:val="72AD0311"/>
    <w:rsid w:val="72FD76D1"/>
    <w:rsid w:val="73102258"/>
    <w:rsid w:val="735A54C4"/>
    <w:rsid w:val="739B50BA"/>
    <w:rsid w:val="73B07597"/>
    <w:rsid w:val="73EB1F44"/>
    <w:rsid w:val="73F21941"/>
    <w:rsid w:val="7437049F"/>
    <w:rsid w:val="74424B41"/>
    <w:rsid w:val="748506AB"/>
    <w:rsid w:val="74B72503"/>
    <w:rsid w:val="7533363D"/>
    <w:rsid w:val="75716C61"/>
    <w:rsid w:val="760133A5"/>
    <w:rsid w:val="76CB7A78"/>
    <w:rsid w:val="770938C4"/>
    <w:rsid w:val="771D2184"/>
    <w:rsid w:val="78484F3C"/>
    <w:rsid w:val="785A63FA"/>
    <w:rsid w:val="78E2673B"/>
    <w:rsid w:val="79571515"/>
    <w:rsid w:val="79B31B8F"/>
    <w:rsid w:val="7B4B773E"/>
    <w:rsid w:val="7B53635F"/>
    <w:rsid w:val="7B6B7700"/>
    <w:rsid w:val="7BDC092D"/>
    <w:rsid w:val="7D162D60"/>
    <w:rsid w:val="7D9962E7"/>
    <w:rsid w:val="7DE933E5"/>
    <w:rsid w:val="7E0B302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character" w:customStyle="1" w:styleId="15">
    <w:name w:val="font21"/>
    <w:basedOn w:val="10"/>
    <w:qFormat/>
    <w:uiPriority w:val="0"/>
    <w:rPr>
      <w:rFonts w:hint="default" w:ascii="Times New Roman" w:hAnsi="Times New Roman" w:cs="Times New Roman"/>
      <w:color w:val="000000"/>
      <w:sz w:val="22"/>
      <w:szCs w:val="22"/>
      <w:u w:val="none"/>
    </w:rPr>
  </w:style>
  <w:style w:type="character" w:customStyle="1" w:styleId="16">
    <w:name w:val="font11"/>
    <w:basedOn w:val="10"/>
    <w:qFormat/>
    <w:uiPriority w:val="0"/>
    <w:rPr>
      <w:rFonts w:hint="eastAsia" w:ascii="宋体" w:hAnsi="宋体" w:eastAsia="宋体" w:cs="宋体"/>
      <w:color w:val="000000"/>
      <w:sz w:val="22"/>
      <w:szCs w:val="22"/>
      <w:u w:val="none"/>
    </w:rPr>
  </w:style>
  <w:style w:type="paragraph" w:customStyle="1" w:styleId="17">
    <w:name w:val="列表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3261</Words>
  <Characters>3563</Characters>
  <Lines>0</Lines>
  <Paragraphs>0</Paragraphs>
  <TotalTime>1</TotalTime>
  <ScaleCrop>false</ScaleCrop>
  <LinksUpToDate>false</LinksUpToDate>
  <CharactersWithSpaces>3843</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Len-November 唐小宇</cp:lastModifiedBy>
  <cp:lastPrinted>2025-11-11T02:23:00Z</cp:lastPrinted>
  <dcterms:modified xsi:type="dcterms:W3CDTF">2025-11-12T01:25:09Z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FDADF25CEC8C4880A4454F13E01B35A3</vt:lpwstr>
  </property>
  <property fmtid="{D5CDD505-2E9C-101B-9397-08002B2CF9AE}" pid="4" name="KSOTemplateDocerSaveRecord">
    <vt:lpwstr>eyJoZGlkIjoiMGIyMzEwMTA4N2FlMWVhNDM2NGY3MjNjMmI2YTM0ODUiLCJ1c2VySWQiOiIxNTcyODEwNzcyIn0=</vt:lpwstr>
  </property>
</Properties>
</file>